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0A" w:rsidRDefault="0014040A" w:rsidP="0014040A">
      <w:pPr>
        <w:pStyle w:val="MMParagraphCharCharCharCharCharCharCharCharCharChar"/>
      </w:pPr>
    </w:p>
    <w:p w:rsidR="0014040A" w:rsidRDefault="0014040A" w:rsidP="0014040A">
      <w:pPr>
        <w:pStyle w:val="MMParagraphCharCharCharCharCharCharCharCharCharChar"/>
      </w:pPr>
    </w:p>
    <w:p w:rsidR="00606051" w:rsidRPr="004913D5" w:rsidRDefault="0014040A" w:rsidP="00C50AE4">
      <w:pPr>
        <w:pStyle w:val="MMParagraphCharCharCharCharCharCharCharCharCharChar"/>
        <w:spacing w:after="0"/>
        <w:jc w:val="center"/>
        <w:rPr>
          <w:rFonts w:asciiTheme="minorHAnsi" w:hAnsiTheme="minorHAnsi"/>
          <w:b/>
          <w:sz w:val="32"/>
          <w:szCs w:val="36"/>
        </w:rPr>
      </w:pPr>
      <w:r w:rsidRPr="004913D5">
        <w:rPr>
          <w:rFonts w:asciiTheme="minorHAnsi" w:hAnsiTheme="minorHAnsi"/>
          <w:b/>
          <w:sz w:val="32"/>
          <w:szCs w:val="36"/>
        </w:rPr>
        <w:t>Memorandum</w:t>
      </w:r>
    </w:p>
    <w:p w:rsidR="004913D5" w:rsidRDefault="004913D5" w:rsidP="00C50AE4">
      <w:pPr>
        <w:pStyle w:val="MMParagraphCharCharCharCharCharCharCharCharCharChar"/>
        <w:spacing w:after="0"/>
        <w:rPr>
          <w:rFonts w:asciiTheme="minorHAnsi" w:hAnsiTheme="minorHAnsi"/>
          <w:b/>
          <w:sz w:val="22"/>
          <w:szCs w:val="22"/>
        </w:rPr>
      </w:pPr>
    </w:p>
    <w:p w:rsidR="0014040A" w:rsidRPr="004913D5" w:rsidRDefault="0014040A" w:rsidP="00C50AE4">
      <w:pPr>
        <w:pStyle w:val="MMParagraphCharCharCharCharCharCharCharCharCharChar"/>
        <w:rPr>
          <w:rFonts w:asciiTheme="minorHAnsi" w:hAnsiTheme="minorHAnsi"/>
          <w:b/>
          <w:sz w:val="22"/>
          <w:szCs w:val="22"/>
        </w:rPr>
      </w:pPr>
      <w:r w:rsidRPr="004913D5">
        <w:rPr>
          <w:rFonts w:asciiTheme="minorHAnsi" w:hAnsiTheme="minorHAnsi"/>
          <w:b/>
          <w:sz w:val="22"/>
          <w:szCs w:val="22"/>
        </w:rPr>
        <w:t xml:space="preserve">TO:  </w:t>
      </w:r>
      <w:r w:rsidR="0065035A">
        <w:rPr>
          <w:rFonts w:asciiTheme="minorHAnsi" w:hAnsiTheme="minorHAnsi"/>
          <w:b/>
          <w:sz w:val="22"/>
          <w:szCs w:val="22"/>
        </w:rPr>
        <w:t>Village of Orland Park Board of Directors</w:t>
      </w:r>
    </w:p>
    <w:p w:rsidR="0014040A" w:rsidRPr="004913D5" w:rsidRDefault="0014040A" w:rsidP="00C50AE4">
      <w:pPr>
        <w:pStyle w:val="MMParagraphCharCharCharCharCharCharCharCharCharChar"/>
        <w:rPr>
          <w:rFonts w:asciiTheme="minorHAnsi" w:hAnsiTheme="minorHAnsi"/>
          <w:b/>
          <w:sz w:val="22"/>
          <w:szCs w:val="22"/>
        </w:rPr>
      </w:pPr>
      <w:r w:rsidRPr="004913D5">
        <w:rPr>
          <w:rFonts w:asciiTheme="minorHAnsi" w:hAnsiTheme="minorHAnsi"/>
          <w:b/>
          <w:sz w:val="22"/>
          <w:szCs w:val="22"/>
        </w:rPr>
        <w:t>FROM: Municipal &amp; Financial Services Group</w:t>
      </w:r>
    </w:p>
    <w:p w:rsidR="0014040A" w:rsidRPr="004913D5" w:rsidRDefault="0014040A" w:rsidP="00C50AE4">
      <w:pPr>
        <w:pStyle w:val="MMParagraphCharCharCharCharCharCharCharCharCharChar"/>
        <w:rPr>
          <w:rFonts w:asciiTheme="minorHAnsi" w:hAnsiTheme="minorHAnsi"/>
          <w:b/>
          <w:sz w:val="22"/>
          <w:szCs w:val="22"/>
        </w:rPr>
      </w:pPr>
      <w:r w:rsidRPr="004913D5">
        <w:rPr>
          <w:rFonts w:asciiTheme="minorHAnsi" w:hAnsiTheme="minorHAnsi"/>
          <w:b/>
          <w:sz w:val="22"/>
          <w:szCs w:val="22"/>
        </w:rPr>
        <w:t xml:space="preserve">DATE: </w:t>
      </w:r>
      <w:r w:rsidR="0065035A">
        <w:rPr>
          <w:rFonts w:asciiTheme="minorHAnsi" w:hAnsiTheme="minorHAnsi"/>
          <w:b/>
          <w:sz w:val="22"/>
          <w:szCs w:val="22"/>
        </w:rPr>
        <w:t>February 2</w:t>
      </w:r>
      <w:r w:rsidR="00A53120">
        <w:rPr>
          <w:rFonts w:asciiTheme="minorHAnsi" w:hAnsiTheme="minorHAnsi"/>
          <w:b/>
          <w:sz w:val="22"/>
          <w:szCs w:val="22"/>
        </w:rPr>
        <w:t>9</w:t>
      </w:r>
      <w:r w:rsidR="0065035A">
        <w:rPr>
          <w:rFonts w:asciiTheme="minorHAnsi" w:hAnsiTheme="minorHAnsi"/>
          <w:b/>
          <w:sz w:val="22"/>
          <w:szCs w:val="22"/>
        </w:rPr>
        <w:t>, 2016</w:t>
      </w:r>
    </w:p>
    <w:p w:rsidR="00606051" w:rsidRPr="004913D5" w:rsidRDefault="00606051" w:rsidP="00C50AE4">
      <w:pPr>
        <w:pStyle w:val="MMParagraphCharCharCharCharCharCharCharCharCharChar"/>
        <w:rPr>
          <w:rFonts w:asciiTheme="minorHAnsi" w:hAnsiTheme="minorHAnsi"/>
          <w:b/>
          <w:sz w:val="22"/>
          <w:szCs w:val="22"/>
        </w:rPr>
      </w:pPr>
      <w:r w:rsidRPr="004913D5">
        <w:rPr>
          <w:rFonts w:asciiTheme="minorHAnsi" w:hAnsiTheme="minorHAnsi"/>
          <w:b/>
          <w:sz w:val="22"/>
          <w:szCs w:val="22"/>
        </w:rPr>
        <w:t xml:space="preserve">SUBJECT:  </w:t>
      </w:r>
      <w:r w:rsidR="0065035A">
        <w:rPr>
          <w:rFonts w:asciiTheme="minorHAnsi" w:hAnsiTheme="minorHAnsi"/>
          <w:b/>
          <w:sz w:val="22"/>
          <w:szCs w:val="22"/>
        </w:rPr>
        <w:t xml:space="preserve">Water, </w:t>
      </w:r>
      <w:r w:rsidR="009E5746">
        <w:rPr>
          <w:rFonts w:asciiTheme="minorHAnsi" w:hAnsiTheme="minorHAnsi"/>
          <w:b/>
          <w:sz w:val="22"/>
          <w:szCs w:val="22"/>
        </w:rPr>
        <w:t xml:space="preserve">Sewer </w:t>
      </w:r>
      <w:r w:rsidR="0065035A">
        <w:rPr>
          <w:rFonts w:asciiTheme="minorHAnsi" w:hAnsiTheme="minorHAnsi"/>
          <w:b/>
          <w:sz w:val="22"/>
          <w:szCs w:val="22"/>
        </w:rPr>
        <w:t>and Stormwater Rate Study Results and Recommendations</w:t>
      </w:r>
    </w:p>
    <w:p w:rsidR="0014040A" w:rsidRPr="004913D5" w:rsidRDefault="00606051" w:rsidP="00C50AE4">
      <w:pPr>
        <w:pStyle w:val="MMParagraphCharCharCharCharCharCharCharCharCharChar"/>
        <w:spacing w:after="0"/>
        <w:rPr>
          <w:rFonts w:asciiTheme="minorHAnsi" w:hAnsiTheme="minorHAnsi"/>
          <w:sz w:val="22"/>
          <w:szCs w:val="22"/>
        </w:rPr>
      </w:pPr>
      <w:r w:rsidRPr="004913D5">
        <w:rPr>
          <w:rFonts w:asciiTheme="minorHAnsi" w:hAnsiTheme="minorHAnsi"/>
          <w:sz w:val="22"/>
          <w:szCs w:val="22"/>
        </w:rPr>
        <w:t xml:space="preserve">The following document summarizes the </w:t>
      </w:r>
      <w:r w:rsidR="009E5746">
        <w:rPr>
          <w:rFonts w:asciiTheme="minorHAnsi" w:hAnsiTheme="minorHAnsi"/>
          <w:sz w:val="22"/>
          <w:szCs w:val="22"/>
        </w:rPr>
        <w:t xml:space="preserve">results </w:t>
      </w:r>
      <w:r w:rsidR="0065035A">
        <w:rPr>
          <w:rFonts w:asciiTheme="minorHAnsi" w:hAnsiTheme="minorHAnsi"/>
          <w:sz w:val="22"/>
          <w:szCs w:val="22"/>
        </w:rPr>
        <w:t>of MFSG’s analysis of the Village</w:t>
      </w:r>
      <w:r w:rsidR="009E5746">
        <w:rPr>
          <w:rFonts w:asciiTheme="minorHAnsi" w:hAnsiTheme="minorHAnsi"/>
          <w:sz w:val="22"/>
          <w:szCs w:val="22"/>
        </w:rPr>
        <w:t xml:space="preserve">’s </w:t>
      </w:r>
      <w:r w:rsidR="0065035A">
        <w:rPr>
          <w:rFonts w:asciiTheme="minorHAnsi" w:hAnsiTheme="minorHAnsi"/>
          <w:sz w:val="22"/>
          <w:szCs w:val="22"/>
        </w:rPr>
        <w:t>water, sewer, and stormwater rates.</w:t>
      </w:r>
    </w:p>
    <w:p w:rsidR="00682440" w:rsidRPr="004913D5" w:rsidRDefault="00682440" w:rsidP="00C50AE4">
      <w:pPr>
        <w:pStyle w:val="MMParagraphCharCharCharCharCharCharCharCharCharChar"/>
        <w:spacing w:after="0"/>
        <w:rPr>
          <w:rFonts w:asciiTheme="minorHAnsi" w:hAnsiTheme="minorHAnsi"/>
          <w:sz w:val="22"/>
          <w:szCs w:val="22"/>
        </w:rPr>
      </w:pPr>
    </w:p>
    <w:p w:rsidR="0014040A" w:rsidRPr="004913D5" w:rsidRDefault="0065035A" w:rsidP="00C50AE4">
      <w:pPr>
        <w:pStyle w:val="MMHead2"/>
        <w:spacing w:after="0"/>
        <w:jc w:val="both"/>
        <w:rPr>
          <w:rFonts w:asciiTheme="minorHAnsi" w:hAnsiTheme="minorHAnsi"/>
          <w:i w:val="0"/>
          <w:color w:val="auto"/>
          <w:sz w:val="22"/>
          <w:szCs w:val="22"/>
        </w:rPr>
      </w:pPr>
      <w:bookmarkStart w:id="0" w:name="_Toc296931808"/>
      <w:bookmarkStart w:id="1" w:name="_Toc313354145"/>
      <w:bookmarkStart w:id="2" w:name="_Toc319056219"/>
      <w:r>
        <w:rPr>
          <w:rFonts w:asciiTheme="minorHAnsi" w:hAnsiTheme="minorHAnsi"/>
          <w:i w:val="0"/>
          <w:color w:val="auto"/>
          <w:sz w:val="22"/>
          <w:szCs w:val="22"/>
        </w:rPr>
        <w:t>Purpose of the Study</w:t>
      </w:r>
    </w:p>
    <w:p w:rsidR="00682440" w:rsidRPr="004913D5" w:rsidRDefault="00682440" w:rsidP="00C50AE4">
      <w:pPr>
        <w:pStyle w:val="MMHead2"/>
        <w:spacing w:after="0"/>
        <w:jc w:val="both"/>
        <w:rPr>
          <w:rFonts w:asciiTheme="minorHAnsi" w:hAnsiTheme="minorHAnsi"/>
          <w:i w:val="0"/>
          <w:color w:val="auto"/>
          <w:sz w:val="22"/>
          <w:szCs w:val="22"/>
        </w:rPr>
      </w:pPr>
    </w:p>
    <w:bookmarkEnd w:id="0"/>
    <w:bookmarkEnd w:id="1"/>
    <w:bookmarkEnd w:id="2"/>
    <w:p w:rsidR="009A4B82" w:rsidRDefault="00F06E59" w:rsidP="009A4B82">
      <w:pPr>
        <w:pStyle w:val="ListParagraph"/>
        <w:numPr>
          <w:ilvl w:val="0"/>
          <w:numId w:val="5"/>
        </w:numPr>
        <w:jc w:val="both"/>
        <w:rPr>
          <w:rFonts w:asciiTheme="minorHAnsi" w:hAnsiTheme="minorHAnsi"/>
          <w:sz w:val="22"/>
          <w:szCs w:val="22"/>
        </w:rPr>
      </w:pPr>
      <w:r w:rsidRPr="00F06E59">
        <w:rPr>
          <w:rFonts w:asciiTheme="minorHAnsi" w:hAnsiTheme="minorHAnsi"/>
          <w:sz w:val="22"/>
          <w:szCs w:val="22"/>
        </w:rPr>
        <w:t>Develop a multi-year financial plan for the Village’s water, sewer and stormwater funds that maintains a minimum cash balance as determined by Village policy</w:t>
      </w:r>
    </w:p>
    <w:p w:rsidR="009A4B82" w:rsidRDefault="009A4B82" w:rsidP="009A4B82">
      <w:pPr>
        <w:pStyle w:val="ListParagraph"/>
        <w:jc w:val="both"/>
        <w:rPr>
          <w:rFonts w:asciiTheme="minorHAnsi" w:hAnsiTheme="minorHAnsi"/>
          <w:sz w:val="22"/>
          <w:szCs w:val="22"/>
        </w:rPr>
      </w:pPr>
    </w:p>
    <w:p w:rsidR="00A53120" w:rsidRPr="009A4B82" w:rsidRDefault="00A53120" w:rsidP="009A4B82">
      <w:pPr>
        <w:pStyle w:val="ListParagraph"/>
        <w:numPr>
          <w:ilvl w:val="0"/>
          <w:numId w:val="5"/>
        </w:numPr>
        <w:jc w:val="both"/>
        <w:rPr>
          <w:rFonts w:asciiTheme="minorHAnsi" w:hAnsiTheme="minorHAnsi"/>
          <w:sz w:val="22"/>
          <w:szCs w:val="22"/>
        </w:rPr>
      </w:pPr>
      <w:r w:rsidRPr="009A4B82">
        <w:rPr>
          <w:rFonts w:asciiTheme="minorHAnsi" w:hAnsiTheme="minorHAnsi"/>
          <w:sz w:val="22"/>
          <w:szCs w:val="22"/>
        </w:rPr>
        <w:t>Analyze the Village’s water, sewer and stormwater rate structures and propose alternative rate structures based on historical consumption data and other utility pricing goals, such as the encouragement of conservation and sensitivity to customer bill impact</w:t>
      </w:r>
    </w:p>
    <w:p w:rsidR="00682440" w:rsidRPr="004913D5" w:rsidRDefault="00682440" w:rsidP="00C50AE4">
      <w:pPr>
        <w:jc w:val="both"/>
        <w:rPr>
          <w:rFonts w:asciiTheme="minorHAnsi" w:hAnsiTheme="minorHAnsi"/>
          <w:sz w:val="22"/>
          <w:szCs w:val="22"/>
        </w:rPr>
      </w:pPr>
    </w:p>
    <w:p w:rsidR="00450136" w:rsidRDefault="00450136" w:rsidP="00C50AE4">
      <w:pPr>
        <w:jc w:val="both"/>
        <w:rPr>
          <w:rFonts w:asciiTheme="minorHAnsi" w:hAnsiTheme="minorHAnsi"/>
          <w:b/>
          <w:sz w:val="22"/>
          <w:szCs w:val="22"/>
        </w:rPr>
      </w:pPr>
      <w:r>
        <w:rPr>
          <w:rFonts w:asciiTheme="minorHAnsi" w:hAnsiTheme="minorHAnsi"/>
          <w:b/>
          <w:sz w:val="22"/>
          <w:szCs w:val="22"/>
        </w:rPr>
        <w:t>Scope of Work</w:t>
      </w:r>
    </w:p>
    <w:p w:rsidR="00450136" w:rsidRDefault="00450136" w:rsidP="00C50AE4">
      <w:pPr>
        <w:jc w:val="both"/>
        <w:rPr>
          <w:rFonts w:asciiTheme="minorHAnsi" w:hAnsiTheme="minorHAnsi"/>
          <w:b/>
          <w:sz w:val="22"/>
          <w:szCs w:val="22"/>
        </w:rPr>
      </w:pPr>
      <w:r>
        <w:rPr>
          <w:rFonts w:asciiTheme="minorHAnsi" w:hAnsiTheme="minorHAnsi"/>
          <w:b/>
          <w:sz w:val="22"/>
          <w:szCs w:val="22"/>
        </w:rPr>
        <w:tab/>
      </w:r>
    </w:p>
    <w:p w:rsidR="00514C1D" w:rsidRPr="00514C1D" w:rsidRDefault="00450136" w:rsidP="00514C1D">
      <w:pPr>
        <w:pStyle w:val="ListParagraph"/>
        <w:numPr>
          <w:ilvl w:val="0"/>
          <w:numId w:val="5"/>
        </w:numPr>
        <w:jc w:val="both"/>
        <w:rPr>
          <w:rFonts w:asciiTheme="minorHAnsi" w:hAnsiTheme="minorHAnsi"/>
          <w:sz w:val="22"/>
          <w:szCs w:val="22"/>
        </w:rPr>
      </w:pPr>
      <w:r>
        <w:rPr>
          <w:rFonts w:asciiTheme="minorHAnsi" w:hAnsiTheme="minorHAnsi"/>
          <w:sz w:val="22"/>
          <w:szCs w:val="22"/>
        </w:rPr>
        <w:t>MFSG’s scope of work included several tasks related to</w:t>
      </w:r>
      <w:r w:rsidR="0065035A">
        <w:rPr>
          <w:rFonts w:asciiTheme="minorHAnsi" w:hAnsiTheme="minorHAnsi"/>
          <w:sz w:val="22"/>
          <w:szCs w:val="22"/>
        </w:rPr>
        <w:t xml:space="preserve"> the Village</w:t>
      </w:r>
      <w:r w:rsidR="0079722D">
        <w:rPr>
          <w:rFonts w:asciiTheme="minorHAnsi" w:hAnsiTheme="minorHAnsi"/>
          <w:sz w:val="22"/>
          <w:szCs w:val="22"/>
        </w:rPr>
        <w:t xml:space="preserve">’s </w:t>
      </w:r>
      <w:r w:rsidR="0065035A">
        <w:rPr>
          <w:rFonts w:asciiTheme="minorHAnsi" w:hAnsiTheme="minorHAnsi"/>
          <w:sz w:val="22"/>
          <w:szCs w:val="22"/>
        </w:rPr>
        <w:t>water, sewer and stormwater funds</w:t>
      </w:r>
      <w:r w:rsidR="00514C1D">
        <w:rPr>
          <w:rFonts w:asciiTheme="minorHAnsi" w:hAnsiTheme="minorHAnsi"/>
          <w:sz w:val="22"/>
          <w:szCs w:val="22"/>
        </w:rPr>
        <w:t>:</w:t>
      </w:r>
    </w:p>
    <w:p w:rsidR="00450136" w:rsidRDefault="0065035A" w:rsidP="00C50AE4">
      <w:pPr>
        <w:pStyle w:val="ListParagraph"/>
        <w:numPr>
          <w:ilvl w:val="1"/>
          <w:numId w:val="5"/>
        </w:numPr>
        <w:jc w:val="both"/>
        <w:rPr>
          <w:rFonts w:asciiTheme="minorHAnsi" w:hAnsiTheme="minorHAnsi"/>
          <w:sz w:val="22"/>
          <w:szCs w:val="22"/>
        </w:rPr>
      </w:pPr>
      <w:r>
        <w:rPr>
          <w:rFonts w:asciiTheme="minorHAnsi" w:hAnsiTheme="minorHAnsi"/>
          <w:sz w:val="22"/>
          <w:szCs w:val="22"/>
        </w:rPr>
        <w:t>Develop</w:t>
      </w:r>
      <w:r w:rsidR="00450136">
        <w:rPr>
          <w:rFonts w:asciiTheme="minorHAnsi" w:hAnsiTheme="minorHAnsi"/>
          <w:sz w:val="22"/>
          <w:szCs w:val="22"/>
        </w:rPr>
        <w:t xml:space="preserve"> system revenue requirements based on the </w:t>
      </w:r>
      <w:r w:rsidR="00450136" w:rsidRPr="00E66424">
        <w:rPr>
          <w:rFonts w:asciiTheme="minorHAnsi" w:hAnsiTheme="minorHAnsi"/>
          <w:sz w:val="22"/>
          <w:szCs w:val="22"/>
        </w:rPr>
        <w:t>most recently available data including operational</w:t>
      </w:r>
      <w:r w:rsidR="00E66424">
        <w:rPr>
          <w:rFonts w:asciiTheme="minorHAnsi" w:hAnsiTheme="minorHAnsi"/>
          <w:sz w:val="22"/>
          <w:szCs w:val="22"/>
        </w:rPr>
        <w:t xml:space="preserve"> costs</w:t>
      </w:r>
      <w:r w:rsidR="00450136" w:rsidRPr="00E66424">
        <w:rPr>
          <w:rFonts w:asciiTheme="minorHAnsi" w:hAnsiTheme="minorHAnsi"/>
          <w:sz w:val="22"/>
          <w:szCs w:val="22"/>
        </w:rPr>
        <w:t xml:space="preserve">, capital </w:t>
      </w:r>
      <w:r w:rsidR="00E66424">
        <w:rPr>
          <w:rFonts w:asciiTheme="minorHAnsi" w:hAnsiTheme="minorHAnsi"/>
          <w:sz w:val="22"/>
          <w:szCs w:val="22"/>
        </w:rPr>
        <w:t xml:space="preserve">spending, </w:t>
      </w:r>
      <w:r w:rsidR="00450136" w:rsidRPr="00E66424">
        <w:rPr>
          <w:rFonts w:asciiTheme="minorHAnsi" w:hAnsiTheme="minorHAnsi"/>
          <w:sz w:val="22"/>
          <w:szCs w:val="22"/>
        </w:rPr>
        <w:t xml:space="preserve">and reserve </w:t>
      </w:r>
      <w:r w:rsidR="00E66424">
        <w:rPr>
          <w:rFonts w:asciiTheme="minorHAnsi" w:hAnsiTheme="minorHAnsi"/>
          <w:sz w:val="22"/>
          <w:szCs w:val="22"/>
        </w:rPr>
        <w:t xml:space="preserve">contribution </w:t>
      </w:r>
      <w:r w:rsidR="00450136" w:rsidRPr="00E66424">
        <w:rPr>
          <w:rFonts w:asciiTheme="minorHAnsi" w:hAnsiTheme="minorHAnsi"/>
          <w:sz w:val="22"/>
          <w:szCs w:val="22"/>
        </w:rPr>
        <w:t>budgets and projections</w:t>
      </w:r>
    </w:p>
    <w:p w:rsidR="00450136" w:rsidRDefault="0065035A" w:rsidP="00C50AE4">
      <w:pPr>
        <w:pStyle w:val="ListParagraph"/>
        <w:numPr>
          <w:ilvl w:val="1"/>
          <w:numId w:val="5"/>
        </w:numPr>
        <w:jc w:val="both"/>
        <w:rPr>
          <w:rFonts w:asciiTheme="minorHAnsi" w:hAnsiTheme="minorHAnsi"/>
          <w:sz w:val="22"/>
          <w:szCs w:val="22"/>
        </w:rPr>
      </w:pPr>
      <w:r>
        <w:rPr>
          <w:rFonts w:asciiTheme="minorHAnsi" w:hAnsiTheme="minorHAnsi"/>
          <w:sz w:val="22"/>
          <w:szCs w:val="22"/>
        </w:rPr>
        <w:t>Analyze past and c</w:t>
      </w:r>
      <w:r w:rsidR="00450136">
        <w:rPr>
          <w:rFonts w:asciiTheme="minorHAnsi" w:hAnsiTheme="minorHAnsi"/>
          <w:sz w:val="22"/>
          <w:szCs w:val="22"/>
        </w:rPr>
        <w:t xml:space="preserve">urrent </w:t>
      </w:r>
      <w:r>
        <w:rPr>
          <w:rFonts w:asciiTheme="minorHAnsi" w:hAnsiTheme="minorHAnsi"/>
          <w:sz w:val="22"/>
          <w:szCs w:val="22"/>
        </w:rPr>
        <w:t xml:space="preserve">water, </w:t>
      </w:r>
      <w:r w:rsidR="00450136">
        <w:rPr>
          <w:rFonts w:asciiTheme="minorHAnsi" w:hAnsiTheme="minorHAnsi"/>
          <w:sz w:val="22"/>
          <w:szCs w:val="22"/>
        </w:rPr>
        <w:t>sewer</w:t>
      </w:r>
      <w:r>
        <w:rPr>
          <w:rFonts w:asciiTheme="minorHAnsi" w:hAnsiTheme="minorHAnsi"/>
          <w:sz w:val="22"/>
          <w:szCs w:val="22"/>
        </w:rPr>
        <w:t xml:space="preserve"> and stormwater</w:t>
      </w:r>
      <w:r w:rsidR="00450136">
        <w:rPr>
          <w:rFonts w:asciiTheme="minorHAnsi" w:hAnsiTheme="minorHAnsi"/>
          <w:sz w:val="22"/>
          <w:szCs w:val="22"/>
        </w:rPr>
        <w:t xml:space="preserve"> customer data includin</w:t>
      </w:r>
      <w:r>
        <w:rPr>
          <w:rFonts w:asciiTheme="minorHAnsi" w:hAnsiTheme="minorHAnsi"/>
          <w:sz w:val="22"/>
          <w:szCs w:val="22"/>
        </w:rPr>
        <w:t>g customer counts and consumption patterns, especially as it relates to the Village’s tiered water structure</w:t>
      </w:r>
    </w:p>
    <w:p w:rsidR="00450136" w:rsidRDefault="0065035A" w:rsidP="00C50AE4">
      <w:pPr>
        <w:pStyle w:val="ListParagraph"/>
        <w:numPr>
          <w:ilvl w:val="1"/>
          <w:numId w:val="5"/>
        </w:numPr>
        <w:jc w:val="both"/>
        <w:rPr>
          <w:rFonts w:asciiTheme="minorHAnsi" w:hAnsiTheme="minorHAnsi"/>
          <w:sz w:val="22"/>
          <w:szCs w:val="22"/>
        </w:rPr>
      </w:pPr>
      <w:r>
        <w:rPr>
          <w:rFonts w:asciiTheme="minorHAnsi" w:hAnsiTheme="minorHAnsi"/>
          <w:sz w:val="22"/>
          <w:szCs w:val="22"/>
        </w:rPr>
        <w:t>Project future customer and consumption growth</w:t>
      </w:r>
      <w:r w:rsidR="00450136">
        <w:rPr>
          <w:rFonts w:asciiTheme="minorHAnsi" w:hAnsiTheme="minorHAnsi"/>
          <w:sz w:val="22"/>
          <w:szCs w:val="22"/>
        </w:rPr>
        <w:t xml:space="preserve"> b</w:t>
      </w:r>
      <w:r>
        <w:rPr>
          <w:rFonts w:asciiTheme="minorHAnsi" w:hAnsiTheme="minorHAnsi"/>
          <w:sz w:val="22"/>
          <w:szCs w:val="22"/>
        </w:rPr>
        <w:t>ased on the most recent estimates</w:t>
      </w:r>
    </w:p>
    <w:p w:rsidR="00450136" w:rsidRDefault="0065035A" w:rsidP="00C50AE4">
      <w:pPr>
        <w:pStyle w:val="ListParagraph"/>
        <w:numPr>
          <w:ilvl w:val="1"/>
          <w:numId w:val="5"/>
        </w:numPr>
        <w:jc w:val="both"/>
        <w:rPr>
          <w:rFonts w:asciiTheme="minorHAnsi" w:hAnsiTheme="minorHAnsi"/>
          <w:sz w:val="22"/>
          <w:szCs w:val="22"/>
        </w:rPr>
      </w:pPr>
      <w:r>
        <w:rPr>
          <w:rFonts w:asciiTheme="minorHAnsi" w:hAnsiTheme="minorHAnsi"/>
          <w:sz w:val="22"/>
          <w:szCs w:val="22"/>
        </w:rPr>
        <w:t xml:space="preserve">Calculate rates that generate sufficient </w:t>
      </w:r>
      <w:r w:rsidR="00450136">
        <w:rPr>
          <w:rFonts w:asciiTheme="minorHAnsi" w:hAnsiTheme="minorHAnsi"/>
          <w:sz w:val="22"/>
          <w:szCs w:val="22"/>
        </w:rPr>
        <w:t xml:space="preserve">revenues in order to maintain the financial health of </w:t>
      </w:r>
      <w:r>
        <w:rPr>
          <w:rFonts w:asciiTheme="minorHAnsi" w:hAnsiTheme="minorHAnsi"/>
          <w:sz w:val="22"/>
          <w:szCs w:val="22"/>
        </w:rPr>
        <w:t>the Village’s utility funds</w:t>
      </w:r>
    </w:p>
    <w:p w:rsidR="0065035A" w:rsidRDefault="0065035A" w:rsidP="00C50AE4">
      <w:pPr>
        <w:pStyle w:val="ListParagraph"/>
        <w:numPr>
          <w:ilvl w:val="1"/>
          <w:numId w:val="5"/>
        </w:numPr>
        <w:jc w:val="both"/>
        <w:rPr>
          <w:rFonts w:asciiTheme="minorHAnsi" w:hAnsiTheme="minorHAnsi"/>
          <w:sz w:val="22"/>
          <w:szCs w:val="22"/>
        </w:rPr>
      </w:pPr>
      <w:r>
        <w:rPr>
          <w:rFonts w:asciiTheme="minorHAnsi" w:hAnsiTheme="minorHAnsi"/>
          <w:sz w:val="22"/>
          <w:szCs w:val="22"/>
        </w:rPr>
        <w:t>Analyze possible rate structure alternatives regarding the water rate tiers and stormwater billing methodology (water consumption vs. impervious area) and determine possible customer impacts of such alternatives</w:t>
      </w:r>
    </w:p>
    <w:p w:rsidR="00FA4D79" w:rsidRDefault="00FA4D79" w:rsidP="0014040A">
      <w:pPr>
        <w:rPr>
          <w:rFonts w:asciiTheme="minorHAnsi" w:hAnsiTheme="minorHAnsi"/>
          <w:b/>
          <w:sz w:val="22"/>
          <w:szCs w:val="22"/>
        </w:rPr>
      </w:pPr>
    </w:p>
    <w:p w:rsidR="004D6AF5" w:rsidRPr="004913D5" w:rsidRDefault="0065035A" w:rsidP="0065035A">
      <w:pPr>
        <w:jc w:val="both"/>
        <w:rPr>
          <w:rFonts w:asciiTheme="minorHAnsi" w:hAnsiTheme="minorHAnsi"/>
          <w:sz w:val="22"/>
        </w:rPr>
      </w:pPr>
      <w:r>
        <w:rPr>
          <w:rFonts w:asciiTheme="minorHAnsi" w:hAnsiTheme="minorHAnsi"/>
          <w:b/>
          <w:sz w:val="22"/>
        </w:rPr>
        <w:t>Findings and Conclusions</w:t>
      </w:r>
    </w:p>
    <w:p w:rsidR="0079722D" w:rsidRPr="004913D5" w:rsidRDefault="0079722D" w:rsidP="0079722D">
      <w:pPr>
        <w:rPr>
          <w:rFonts w:asciiTheme="minorHAnsi" w:hAnsiTheme="minorHAnsi"/>
          <w:sz w:val="22"/>
          <w:szCs w:val="22"/>
        </w:rPr>
      </w:pPr>
    </w:p>
    <w:p w:rsidR="00514C1D" w:rsidRDefault="00704183" w:rsidP="0065035A">
      <w:pPr>
        <w:pStyle w:val="ListParagraph"/>
        <w:numPr>
          <w:ilvl w:val="0"/>
          <w:numId w:val="13"/>
        </w:numPr>
        <w:jc w:val="both"/>
        <w:rPr>
          <w:rFonts w:asciiTheme="minorHAnsi" w:hAnsiTheme="minorHAnsi"/>
          <w:sz w:val="22"/>
          <w:szCs w:val="22"/>
        </w:rPr>
      </w:pPr>
      <w:r>
        <w:rPr>
          <w:rFonts w:asciiTheme="minorHAnsi" w:hAnsiTheme="minorHAnsi"/>
          <w:sz w:val="22"/>
          <w:szCs w:val="22"/>
        </w:rPr>
        <w:t>Regarding water rates</w:t>
      </w:r>
      <w:r w:rsidR="0079722D">
        <w:rPr>
          <w:rFonts w:asciiTheme="minorHAnsi" w:hAnsiTheme="minorHAnsi"/>
          <w:sz w:val="22"/>
          <w:szCs w:val="22"/>
        </w:rPr>
        <w:t>:</w:t>
      </w:r>
    </w:p>
    <w:p w:rsidR="00B331D8" w:rsidRDefault="00B331D8">
      <w:pPr>
        <w:spacing w:after="200" w:line="276" w:lineRule="auto"/>
        <w:rPr>
          <w:rFonts w:asciiTheme="minorHAnsi" w:hAnsiTheme="minorHAnsi"/>
          <w:sz w:val="22"/>
          <w:szCs w:val="22"/>
        </w:rPr>
      </w:pPr>
      <w:r>
        <w:rPr>
          <w:rFonts w:asciiTheme="minorHAnsi" w:hAnsiTheme="minorHAnsi"/>
          <w:sz w:val="22"/>
          <w:szCs w:val="22"/>
        </w:rPr>
        <w:br w:type="page"/>
      </w:r>
    </w:p>
    <w:p w:rsidR="00B331D8" w:rsidRDefault="00B331D8" w:rsidP="00B331D8">
      <w:pPr>
        <w:pStyle w:val="ListParagraph"/>
        <w:numPr>
          <w:ilvl w:val="1"/>
          <w:numId w:val="13"/>
        </w:numPr>
        <w:jc w:val="both"/>
        <w:rPr>
          <w:rFonts w:asciiTheme="minorHAnsi" w:hAnsiTheme="minorHAnsi"/>
          <w:sz w:val="22"/>
          <w:szCs w:val="22"/>
        </w:rPr>
      </w:pPr>
      <w:r>
        <w:rPr>
          <w:rFonts w:asciiTheme="minorHAnsi" w:hAnsiTheme="minorHAnsi"/>
          <w:sz w:val="22"/>
          <w:szCs w:val="22"/>
        </w:rPr>
        <w:lastRenderedPageBreak/>
        <w:t>Recommended water rates:</w:t>
      </w:r>
    </w:p>
    <w:p w:rsidR="00B331D8" w:rsidRDefault="00B331D8" w:rsidP="00B331D8">
      <w:pPr>
        <w:pStyle w:val="ListParagraph"/>
        <w:ind w:left="1440"/>
        <w:jc w:val="both"/>
        <w:rPr>
          <w:rFonts w:asciiTheme="minorHAnsi" w:hAnsiTheme="minorHAnsi"/>
          <w:sz w:val="22"/>
          <w:szCs w:val="22"/>
        </w:rPr>
      </w:pPr>
    </w:p>
    <w:tbl>
      <w:tblPr>
        <w:tblW w:w="5460" w:type="dxa"/>
        <w:tblInd w:w="14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0"/>
        <w:gridCol w:w="1155"/>
        <w:gridCol w:w="1155"/>
      </w:tblGrid>
      <w:tr w:rsidR="00B331D8" w:rsidRPr="00B331D8" w:rsidTr="00B331D8">
        <w:trPr>
          <w:trHeight w:val="144"/>
        </w:trPr>
        <w:tc>
          <w:tcPr>
            <w:tcW w:w="3150" w:type="dxa"/>
            <w:shd w:val="clear" w:color="auto" w:fill="0000A2"/>
            <w:vAlign w:val="center"/>
          </w:tcPr>
          <w:p w:rsidR="00B331D8" w:rsidRPr="00B331D8" w:rsidRDefault="00B331D8" w:rsidP="00A53120">
            <w:pPr>
              <w:jc w:val="center"/>
              <w:rPr>
                <w:rFonts w:asciiTheme="minorHAnsi" w:hAnsiTheme="minorHAnsi"/>
                <w:b/>
                <w:bCs/>
                <w:color w:val="FFFFFF" w:themeColor="background1"/>
                <w:sz w:val="20"/>
                <w:szCs w:val="20"/>
              </w:rPr>
            </w:pPr>
          </w:p>
        </w:tc>
        <w:tc>
          <w:tcPr>
            <w:tcW w:w="1155" w:type="dxa"/>
            <w:shd w:val="clear" w:color="auto" w:fill="0000A2"/>
            <w:vAlign w:val="center"/>
          </w:tcPr>
          <w:p w:rsidR="00B331D8" w:rsidRPr="00B331D8" w:rsidRDefault="00B331D8" w:rsidP="00A53120">
            <w:pPr>
              <w:jc w:val="center"/>
              <w:rPr>
                <w:rFonts w:ascii="Calibri" w:hAnsi="Calibri"/>
                <w:b/>
                <w:bCs/>
                <w:color w:val="FFFFFF"/>
                <w:sz w:val="20"/>
                <w:szCs w:val="20"/>
              </w:rPr>
            </w:pPr>
            <w:r w:rsidRPr="00B331D8">
              <w:rPr>
                <w:rFonts w:ascii="Calibri" w:hAnsi="Calibri"/>
                <w:b/>
                <w:bCs/>
                <w:color w:val="FFFFFF"/>
                <w:sz w:val="20"/>
                <w:szCs w:val="20"/>
              </w:rPr>
              <w:t>Previous</w:t>
            </w:r>
          </w:p>
          <w:p w:rsidR="00B331D8" w:rsidRPr="00B331D8" w:rsidRDefault="00B331D8" w:rsidP="00A53120">
            <w:pPr>
              <w:jc w:val="center"/>
              <w:rPr>
                <w:rFonts w:ascii="Calibri" w:hAnsi="Calibri"/>
                <w:b/>
                <w:bCs/>
                <w:color w:val="FFFFFF"/>
                <w:sz w:val="20"/>
                <w:szCs w:val="20"/>
              </w:rPr>
            </w:pPr>
            <w:r w:rsidRPr="00B331D8">
              <w:rPr>
                <w:rFonts w:ascii="Calibri" w:hAnsi="Calibri"/>
                <w:b/>
                <w:bCs/>
                <w:color w:val="FFFFFF"/>
                <w:sz w:val="20"/>
                <w:szCs w:val="20"/>
              </w:rPr>
              <w:t>FY 2015</w:t>
            </w:r>
          </w:p>
        </w:tc>
        <w:tc>
          <w:tcPr>
            <w:tcW w:w="1155" w:type="dxa"/>
            <w:shd w:val="clear" w:color="auto" w:fill="0000A2"/>
            <w:vAlign w:val="center"/>
          </w:tcPr>
          <w:p w:rsidR="00B331D8" w:rsidRPr="00B331D8" w:rsidRDefault="00B331D8" w:rsidP="00A53120">
            <w:pPr>
              <w:jc w:val="center"/>
              <w:rPr>
                <w:rFonts w:ascii="Calibri" w:hAnsi="Calibri"/>
                <w:b/>
                <w:bCs/>
                <w:color w:val="FFFFFF"/>
                <w:sz w:val="20"/>
                <w:szCs w:val="20"/>
              </w:rPr>
            </w:pPr>
            <w:r w:rsidRPr="00B331D8">
              <w:rPr>
                <w:rFonts w:ascii="Calibri" w:hAnsi="Calibri"/>
                <w:b/>
                <w:bCs/>
                <w:color w:val="FFFFFF"/>
                <w:sz w:val="20"/>
                <w:szCs w:val="20"/>
              </w:rPr>
              <w:t>Proposed FY 2016</w:t>
            </w:r>
          </w:p>
        </w:tc>
      </w:tr>
      <w:tr w:rsidR="00B331D8" w:rsidRPr="00B331D8" w:rsidTr="00B331D8">
        <w:trPr>
          <w:trHeight w:val="144"/>
        </w:trPr>
        <w:tc>
          <w:tcPr>
            <w:tcW w:w="3150" w:type="dxa"/>
            <w:shd w:val="clear" w:color="auto" w:fill="auto"/>
            <w:vAlign w:val="center"/>
          </w:tcPr>
          <w:p w:rsidR="00B331D8" w:rsidRPr="00B331D8" w:rsidRDefault="00B331D8" w:rsidP="00A53120">
            <w:pPr>
              <w:rPr>
                <w:rFonts w:asciiTheme="minorHAnsi" w:eastAsia="MS PGothic" w:hAnsiTheme="minorHAnsi"/>
                <w:b/>
                <w:bCs/>
                <w:sz w:val="20"/>
                <w:szCs w:val="20"/>
              </w:rPr>
            </w:pPr>
            <w:r w:rsidRPr="00B331D8">
              <w:rPr>
                <w:rFonts w:asciiTheme="minorHAnsi" w:eastAsia="MS PGothic" w:hAnsiTheme="minorHAnsi"/>
                <w:b/>
                <w:bCs/>
                <w:sz w:val="20"/>
                <w:szCs w:val="20"/>
              </w:rPr>
              <w:t>Service Charge per Bill</w:t>
            </w:r>
          </w:p>
        </w:tc>
        <w:tc>
          <w:tcPr>
            <w:tcW w:w="1155" w:type="dxa"/>
            <w:shd w:val="clear" w:color="auto" w:fill="auto"/>
            <w:vAlign w:val="bottom"/>
          </w:tcPr>
          <w:p w:rsidR="00B331D8" w:rsidRPr="00B331D8" w:rsidRDefault="00B331D8" w:rsidP="00B331D8">
            <w:pPr>
              <w:jc w:val="center"/>
              <w:rPr>
                <w:rFonts w:ascii="Calibri" w:hAnsi="Calibri"/>
                <w:b/>
                <w:color w:val="000000"/>
                <w:sz w:val="20"/>
                <w:szCs w:val="20"/>
              </w:rPr>
            </w:pPr>
            <w:r w:rsidRPr="00B331D8">
              <w:rPr>
                <w:rFonts w:ascii="Calibri" w:hAnsi="Calibri"/>
                <w:b/>
                <w:color w:val="000000"/>
                <w:sz w:val="20"/>
                <w:szCs w:val="20"/>
              </w:rPr>
              <w:t>$9.00</w:t>
            </w:r>
          </w:p>
        </w:tc>
        <w:tc>
          <w:tcPr>
            <w:tcW w:w="1155" w:type="dxa"/>
            <w:shd w:val="clear" w:color="auto" w:fill="auto"/>
            <w:vAlign w:val="bottom"/>
          </w:tcPr>
          <w:p w:rsidR="00B331D8" w:rsidRPr="00B331D8" w:rsidRDefault="00B331D8" w:rsidP="00B331D8">
            <w:pPr>
              <w:jc w:val="center"/>
              <w:rPr>
                <w:rFonts w:ascii="Calibri" w:hAnsi="Calibri"/>
                <w:b/>
                <w:color w:val="000000"/>
                <w:sz w:val="20"/>
                <w:szCs w:val="20"/>
              </w:rPr>
            </w:pPr>
            <w:r w:rsidRPr="00B331D8">
              <w:rPr>
                <w:rFonts w:ascii="Calibri" w:hAnsi="Calibri"/>
                <w:b/>
                <w:color w:val="000000"/>
                <w:sz w:val="20"/>
                <w:szCs w:val="20"/>
              </w:rPr>
              <w:t>$9.00</w:t>
            </w:r>
          </w:p>
        </w:tc>
      </w:tr>
      <w:tr w:rsidR="00B331D8" w:rsidRPr="00B331D8" w:rsidTr="00B331D8">
        <w:trPr>
          <w:trHeight w:val="144"/>
        </w:trPr>
        <w:tc>
          <w:tcPr>
            <w:tcW w:w="3150" w:type="dxa"/>
            <w:shd w:val="clear" w:color="auto" w:fill="auto"/>
          </w:tcPr>
          <w:p w:rsidR="00B331D8" w:rsidRPr="00B331D8" w:rsidRDefault="00B331D8" w:rsidP="00B331D8">
            <w:pPr>
              <w:rPr>
                <w:rFonts w:asciiTheme="minorHAnsi" w:hAnsiTheme="minorHAnsi"/>
                <w:bCs/>
                <w:i/>
                <w:sz w:val="20"/>
                <w:szCs w:val="20"/>
              </w:rPr>
            </w:pP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i/>
                <w:iCs/>
                <w:color w:val="000000"/>
                <w:sz w:val="20"/>
                <w:szCs w:val="20"/>
              </w:rPr>
            </w:pPr>
          </w:p>
        </w:tc>
      </w:tr>
      <w:tr w:rsidR="00B331D8" w:rsidRPr="00B331D8" w:rsidTr="00B331D8">
        <w:trPr>
          <w:trHeight w:val="144"/>
        </w:trPr>
        <w:tc>
          <w:tcPr>
            <w:tcW w:w="3150" w:type="dxa"/>
            <w:shd w:val="clear" w:color="auto" w:fill="auto"/>
          </w:tcPr>
          <w:p w:rsidR="00B331D8" w:rsidRPr="00B331D8" w:rsidRDefault="00B331D8" w:rsidP="00B331D8">
            <w:pPr>
              <w:rPr>
                <w:rFonts w:asciiTheme="minorHAnsi" w:hAnsiTheme="minorHAnsi"/>
                <w:b/>
                <w:bCs/>
                <w:sz w:val="20"/>
                <w:szCs w:val="20"/>
              </w:rPr>
            </w:pPr>
            <w:r w:rsidRPr="00B331D8">
              <w:rPr>
                <w:rFonts w:asciiTheme="minorHAnsi" w:hAnsiTheme="minorHAnsi"/>
                <w:b/>
                <w:bCs/>
                <w:sz w:val="20"/>
                <w:szCs w:val="20"/>
              </w:rPr>
              <w:t>Volume Charges</w:t>
            </w:r>
            <w:r w:rsidR="003A6C77">
              <w:rPr>
                <w:rFonts w:asciiTheme="minorHAnsi" w:hAnsiTheme="minorHAnsi"/>
                <w:b/>
                <w:bCs/>
                <w:sz w:val="20"/>
                <w:szCs w:val="20"/>
              </w:rPr>
              <w:t xml:space="preserve"> (per 1,000</w:t>
            </w:r>
            <w:r>
              <w:rPr>
                <w:rFonts w:asciiTheme="minorHAnsi" w:hAnsiTheme="minorHAnsi"/>
                <w:b/>
                <w:bCs/>
                <w:sz w:val="20"/>
                <w:szCs w:val="20"/>
              </w:rPr>
              <w:t xml:space="preserve"> gallons)</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i/>
                <w:iCs/>
                <w:color w:val="000000"/>
                <w:sz w:val="20"/>
                <w:szCs w:val="20"/>
              </w:rPr>
            </w:pPr>
          </w:p>
        </w:tc>
      </w:tr>
      <w:tr w:rsidR="00B331D8" w:rsidRPr="00B331D8" w:rsidTr="00B331D8">
        <w:trPr>
          <w:trHeight w:val="144"/>
        </w:trPr>
        <w:tc>
          <w:tcPr>
            <w:tcW w:w="3150" w:type="dxa"/>
            <w:shd w:val="clear" w:color="auto" w:fill="auto"/>
          </w:tcPr>
          <w:p w:rsidR="00B331D8" w:rsidRPr="00B331D8" w:rsidRDefault="00B331D8" w:rsidP="00B331D8">
            <w:pPr>
              <w:rPr>
                <w:rFonts w:asciiTheme="minorHAnsi" w:hAnsiTheme="minorHAnsi"/>
                <w:bCs/>
                <w:sz w:val="20"/>
                <w:szCs w:val="20"/>
              </w:rPr>
            </w:pPr>
            <w:r w:rsidRPr="00B331D8">
              <w:rPr>
                <w:rFonts w:asciiTheme="minorHAnsi" w:hAnsiTheme="minorHAnsi"/>
                <w:bCs/>
                <w:sz w:val="20"/>
                <w:szCs w:val="20"/>
              </w:rPr>
              <w:t>Tier 1: 0 – 9,</w:t>
            </w:r>
            <w:r>
              <w:rPr>
                <w:rFonts w:asciiTheme="minorHAnsi" w:hAnsiTheme="minorHAnsi"/>
                <w:bCs/>
                <w:sz w:val="20"/>
                <w:szCs w:val="20"/>
              </w:rPr>
              <w:t>000</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r w:rsidRPr="00B331D8">
              <w:rPr>
                <w:rFonts w:ascii="Calibri" w:hAnsi="Calibri"/>
                <w:color w:val="000000"/>
                <w:sz w:val="20"/>
                <w:szCs w:val="20"/>
              </w:rPr>
              <w:t>$5.85</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r>
      <w:tr w:rsidR="00B331D8" w:rsidRPr="00B331D8" w:rsidTr="00B331D8">
        <w:trPr>
          <w:trHeight w:val="144"/>
        </w:trPr>
        <w:tc>
          <w:tcPr>
            <w:tcW w:w="3150" w:type="dxa"/>
            <w:shd w:val="clear" w:color="auto" w:fill="auto"/>
          </w:tcPr>
          <w:p w:rsidR="00B331D8" w:rsidRPr="00B331D8" w:rsidRDefault="00B331D8" w:rsidP="00B331D8">
            <w:pPr>
              <w:rPr>
                <w:rFonts w:asciiTheme="minorHAnsi" w:hAnsiTheme="minorHAnsi"/>
                <w:bCs/>
                <w:sz w:val="20"/>
                <w:szCs w:val="20"/>
              </w:rPr>
            </w:pPr>
            <w:r>
              <w:rPr>
                <w:rFonts w:asciiTheme="minorHAnsi" w:hAnsiTheme="minorHAnsi"/>
                <w:bCs/>
                <w:sz w:val="20"/>
                <w:szCs w:val="20"/>
              </w:rPr>
              <w:t>Tier 2: 9,000 – 18,000</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r w:rsidRPr="00B331D8">
              <w:rPr>
                <w:rFonts w:ascii="Calibri" w:hAnsi="Calibri"/>
                <w:color w:val="000000"/>
                <w:sz w:val="20"/>
                <w:szCs w:val="20"/>
              </w:rPr>
              <w:t>$7.23</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r>
      <w:tr w:rsidR="00B331D8" w:rsidRPr="00B331D8" w:rsidTr="00B331D8">
        <w:trPr>
          <w:trHeight w:val="144"/>
        </w:trPr>
        <w:tc>
          <w:tcPr>
            <w:tcW w:w="3150" w:type="dxa"/>
            <w:shd w:val="clear" w:color="auto" w:fill="auto"/>
          </w:tcPr>
          <w:p w:rsidR="00B331D8" w:rsidRPr="00B331D8" w:rsidRDefault="00B331D8" w:rsidP="00B331D8">
            <w:pPr>
              <w:rPr>
                <w:rFonts w:asciiTheme="minorHAnsi" w:hAnsiTheme="minorHAnsi"/>
                <w:bCs/>
                <w:sz w:val="20"/>
                <w:szCs w:val="20"/>
              </w:rPr>
            </w:pPr>
            <w:r>
              <w:rPr>
                <w:rFonts w:asciiTheme="minorHAnsi" w:hAnsiTheme="minorHAnsi"/>
                <w:bCs/>
                <w:sz w:val="20"/>
                <w:szCs w:val="20"/>
              </w:rPr>
              <w:t>Tier 3: Over 18,000</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r w:rsidRPr="00B331D8">
              <w:rPr>
                <w:rFonts w:ascii="Calibri" w:hAnsi="Calibri"/>
                <w:color w:val="000000"/>
                <w:sz w:val="20"/>
                <w:szCs w:val="20"/>
              </w:rPr>
              <w:t>$8.62</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r>
      <w:tr w:rsidR="00B331D8" w:rsidRPr="00B331D8" w:rsidTr="00B331D8">
        <w:trPr>
          <w:trHeight w:val="144"/>
        </w:trPr>
        <w:tc>
          <w:tcPr>
            <w:tcW w:w="3150" w:type="dxa"/>
            <w:shd w:val="clear" w:color="auto" w:fill="auto"/>
          </w:tcPr>
          <w:p w:rsidR="00B331D8" w:rsidRPr="00B331D8" w:rsidRDefault="00B331D8" w:rsidP="00B331D8">
            <w:pPr>
              <w:rPr>
                <w:rFonts w:asciiTheme="minorHAnsi" w:hAnsiTheme="minorHAnsi"/>
                <w:bCs/>
                <w:sz w:val="20"/>
                <w:szCs w:val="20"/>
              </w:rPr>
            </w:pP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i/>
                <w:iCs/>
                <w:color w:val="000000"/>
                <w:sz w:val="20"/>
                <w:szCs w:val="20"/>
              </w:rPr>
            </w:pPr>
          </w:p>
        </w:tc>
      </w:tr>
      <w:tr w:rsidR="00B331D8" w:rsidRPr="00B331D8" w:rsidTr="00B331D8">
        <w:trPr>
          <w:trHeight w:val="144"/>
        </w:trPr>
        <w:tc>
          <w:tcPr>
            <w:tcW w:w="3150" w:type="dxa"/>
            <w:shd w:val="clear" w:color="auto" w:fill="auto"/>
          </w:tcPr>
          <w:p w:rsidR="00B331D8" w:rsidRPr="00B331D8" w:rsidRDefault="00B331D8" w:rsidP="00B331D8">
            <w:pPr>
              <w:rPr>
                <w:rFonts w:asciiTheme="minorHAnsi" w:hAnsiTheme="minorHAnsi"/>
                <w:bCs/>
                <w:sz w:val="20"/>
                <w:szCs w:val="20"/>
              </w:rPr>
            </w:pP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i/>
                <w:iCs/>
                <w:color w:val="000000"/>
                <w:sz w:val="20"/>
                <w:szCs w:val="20"/>
              </w:rPr>
            </w:pPr>
          </w:p>
        </w:tc>
      </w:tr>
      <w:tr w:rsidR="00B331D8" w:rsidRPr="00B331D8" w:rsidTr="00A53120">
        <w:trPr>
          <w:trHeight w:val="144"/>
        </w:trPr>
        <w:tc>
          <w:tcPr>
            <w:tcW w:w="3150" w:type="dxa"/>
            <w:shd w:val="clear" w:color="auto" w:fill="auto"/>
            <w:vAlign w:val="bottom"/>
          </w:tcPr>
          <w:p w:rsidR="00B331D8" w:rsidRPr="00B331D8" w:rsidRDefault="00B331D8" w:rsidP="00B331D8">
            <w:pPr>
              <w:rPr>
                <w:rFonts w:ascii="Calibri" w:hAnsi="Calibri"/>
                <w:color w:val="000000"/>
                <w:sz w:val="20"/>
                <w:szCs w:val="20"/>
              </w:rPr>
            </w:pPr>
            <w:r w:rsidRPr="00B331D8">
              <w:rPr>
                <w:rFonts w:ascii="Calibri" w:hAnsi="Calibri"/>
                <w:color w:val="000000"/>
                <w:sz w:val="20"/>
                <w:szCs w:val="20"/>
              </w:rPr>
              <w:t xml:space="preserve">Tier 1: 0 </w:t>
            </w:r>
            <w:r>
              <w:rPr>
                <w:rFonts w:ascii="Calibri" w:hAnsi="Calibri"/>
                <w:color w:val="000000"/>
                <w:sz w:val="20"/>
                <w:szCs w:val="20"/>
              </w:rPr>
              <w:t>–</w:t>
            </w:r>
            <w:r w:rsidRPr="00B331D8">
              <w:rPr>
                <w:rFonts w:ascii="Calibri" w:hAnsi="Calibri"/>
                <w:color w:val="000000"/>
                <w:sz w:val="20"/>
                <w:szCs w:val="20"/>
              </w:rPr>
              <w:t xml:space="preserve"> 7</w:t>
            </w:r>
            <w:r>
              <w:rPr>
                <w:rFonts w:ascii="Calibri" w:hAnsi="Calibri"/>
                <w:color w:val="000000"/>
                <w:sz w:val="20"/>
                <w:szCs w:val="20"/>
              </w:rPr>
              <w:t>,</w:t>
            </w:r>
            <w:r w:rsidRPr="00B331D8">
              <w:rPr>
                <w:rFonts w:ascii="Calibri" w:hAnsi="Calibri"/>
                <w:color w:val="000000"/>
                <w:sz w:val="20"/>
                <w:szCs w:val="20"/>
              </w:rPr>
              <w:t>000</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color w:val="000000"/>
                <w:sz w:val="20"/>
                <w:szCs w:val="22"/>
              </w:rPr>
            </w:pPr>
            <w:r w:rsidRPr="00B331D8">
              <w:rPr>
                <w:rFonts w:ascii="Calibri" w:hAnsi="Calibri"/>
                <w:color w:val="000000"/>
                <w:sz w:val="20"/>
                <w:szCs w:val="22"/>
              </w:rPr>
              <w:t>$5.62</w:t>
            </w:r>
          </w:p>
        </w:tc>
      </w:tr>
      <w:tr w:rsidR="00B331D8" w:rsidRPr="00B331D8" w:rsidTr="00A53120">
        <w:trPr>
          <w:trHeight w:val="144"/>
        </w:trPr>
        <w:tc>
          <w:tcPr>
            <w:tcW w:w="3150" w:type="dxa"/>
            <w:shd w:val="clear" w:color="auto" w:fill="auto"/>
            <w:vAlign w:val="bottom"/>
          </w:tcPr>
          <w:p w:rsidR="00B331D8" w:rsidRPr="00B331D8" w:rsidRDefault="00B331D8" w:rsidP="00B331D8">
            <w:pPr>
              <w:rPr>
                <w:rFonts w:ascii="Calibri" w:hAnsi="Calibri"/>
                <w:color w:val="000000"/>
                <w:sz w:val="20"/>
                <w:szCs w:val="20"/>
              </w:rPr>
            </w:pPr>
            <w:r w:rsidRPr="00B331D8">
              <w:rPr>
                <w:rFonts w:ascii="Calibri" w:hAnsi="Calibri"/>
                <w:color w:val="000000"/>
                <w:sz w:val="20"/>
                <w:szCs w:val="20"/>
              </w:rPr>
              <w:t>Tier 2: 7</w:t>
            </w:r>
            <w:r>
              <w:rPr>
                <w:rFonts w:ascii="Calibri" w:hAnsi="Calibri"/>
                <w:color w:val="000000"/>
                <w:sz w:val="20"/>
                <w:szCs w:val="20"/>
              </w:rPr>
              <w:t>,</w:t>
            </w:r>
            <w:r w:rsidRPr="00B331D8">
              <w:rPr>
                <w:rFonts w:ascii="Calibri" w:hAnsi="Calibri"/>
                <w:color w:val="000000"/>
                <w:sz w:val="20"/>
                <w:szCs w:val="20"/>
              </w:rPr>
              <w:t xml:space="preserve">000 </w:t>
            </w:r>
            <w:r>
              <w:rPr>
                <w:rFonts w:ascii="Calibri" w:hAnsi="Calibri"/>
                <w:color w:val="000000"/>
                <w:sz w:val="20"/>
                <w:szCs w:val="20"/>
              </w:rPr>
              <w:t>–</w:t>
            </w:r>
            <w:r w:rsidRPr="00B331D8">
              <w:rPr>
                <w:rFonts w:ascii="Calibri" w:hAnsi="Calibri"/>
                <w:color w:val="000000"/>
                <w:sz w:val="20"/>
                <w:szCs w:val="20"/>
              </w:rPr>
              <w:t xml:space="preserve"> 12</w:t>
            </w:r>
            <w:r>
              <w:rPr>
                <w:rFonts w:ascii="Calibri" w:hAnsi="Calibri"/>
                <w:color w:val="000000"/>
                <w:sz w:val="20"/>
                <w:szCs w:val="20"/>
              </w:rPr>
              <w:t>,</w:t>
            </w:r>
            <w:r w:rsidRPr="00B331D8">
              <w:rPr>
                <w:rFonts w:ascii="Calibri" w:hAnsi="Calibri"/>
                <w:color w:val="000000"/>
                <w:sz w:val="20"/>
                <w:szCs w:val="20"/>
              </w:rPr>
              <w:t>000</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color w:val="000000"/>
                <w:sz w:val="20"/>
                <w:szCs w:val="22"/>
              </w:rPr>
            </w:pPr>
            <w:r w:rsidRPr="00B331D8">
              <w:rPr>
                <w:rFonts w:ascii="Calibri" w:hAnsi="Calibri"/>
                <w:color w:val="000000"/>
                <w:sz w:val="20"/>
                <w:szCs w:val="22"/>
              </w:rPr>
              <w:t>$7.02</w:t>
            </w:r>
          </w:p>
        </w:tc>
      </w:tr>
      <w:tr w:rsidR="00B331D8" w:rsidRPr="00B331D8" w:rsidTr="00A53120">
        <w:trPr>
          <w:trHeight w:val="144"/>
        </w:trPr>
        <w:tc>
          <w:tcPr>
            <w:tcW w:w="3150" w:type="dxa"/>
            <w:shd w:val="clear" w:color="auto" w:fill="auto"/>
            <w:vAlign w:val="bottom"/>
          </w:tcPr>
          <w:p w:rsidR="00B331D8" w:rsidRPr="00B331D8" w:rsidRDefault="00B331D8" w:rsidP="00B331D8">
            <w:pPr>
              <w:rPr>
                <w:rFonts w:ascii="Calibri" w:hAnsi="Calibri"/>
                <w:color w:val="000000"/>
                <w:sz w:val="20"/>
                <w:szCs w:val="20"/>
              </w:rPr>
            </w:pPr>
            <w:r w:rsidRPr="00B331D8">
              <w:rPr>
                <w:rFonts w:ascii="Calibri" w:hAnsi="Calibri"/>
                <w:color w:val="000000"/>
                <w:sz w:val="20"/>
                <w:szCs w:val="20"/>
              </w:rPr>
              <w:t>Tier 3: 12</w:t>
            </w:r>
            <w:r>
              <w:rPr>
                <w:rFonts w:ascii="Calibri" w:hAnsi="Calibri"/>
                <w:color w:val="000000"/>
                <w:sz w:val="20"/>
                <w:szCs w:val="20"/>
              </w:rPr>
              <w:t>,</w:t>
            </w:r>
            <w:r w:rsidRPr="00B331D8">
              <w:rPr>
                <w:rFonts w:ascii="Calibri" w:hAnsi="Calibri"/>
                <w:color w:val="000000"/>
                <w:sz w:val="20"/>
                <w:szCs w:val="20"/>
              </w:rPr>
              <w:t xml:space="preserve">000 </w:t>
            </w:r>
            <w:r>
              <w:rPr>
                <w:rFonts w:ascii="Calibri" w:hAnsi="Calibri"/>
                <w:color w:val="000000"/>
                <w:sz w:val="20"/>
                <w:szCs w:val="20"/>
              </w:rPr>
              <w:t>–</w:t>
            </w:r>
            <w:r w:rsidRPr="00B331D8">
              <w:rPr>
                <w:rFonts w:ascii="Calibri" w:hAnsi="Calibri"/>
                <w:color w:val="000000"/>
                <w:sz w:val="20"/>
                <w:szCs w:val="20"/>
              </w:rPr>
              <w:t xml:space="preserve"> 22</w:t>
            </w:r>
            <w:r>
              <w:rPr>
                <w:rFonts w:ascii="Calibri" w:hAnsi="Calibri"/>
                <w:color w:val="000000"/>
                <w:sz w:val="20"/>
                <w:szCs w:val="20"/>
              </w:rPr>
              <w:t>,</w:t>
            </w:r>
            <w:r w:rsidRPr="00B331D8">
              <w:rPr>
                <w:rFonts w:ascii="Calibri" w:hAnsi="Calibri"/>
                <w:color w:val="000000"/>
                <w:sz w:val="20"/>
                <w:szCs w:val="20"/>
              </w:rPr>
              <w:t>000</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color w:val="000000"/>
                <w:sz w:val="20"/>
                <w:szCs w:val="22"/>
              </w:rPr>
            </w:pPr>
            <w:r w:rsidRPr="00B331D8">
              <w:rPr>
                <w:rFonts w:ascii="Calibri" w:hAnsi="Calibri"/>
                <w:color w:val="000000"/>
                <w:sz w:val="20"/>
                <w:szCs w:val="22"/>
              </w:rPr>
              <w:t>$8.43</w:t>
            </w:r>
          </w:p>
        </w:tc>
      </w:tr>
      <w:tr w:rsidR="00B331D8" w:rsidRPr="00B331D8" w:rsidTr="00A53120">
        <w:trPr>
          <w:trHeight w:val="144"/>
        </w:trPr>
        <w:tc>
          <w:tcPr>
            <w:tcW w:w="3150" w:type="dxa"/>
            <w:shd w:val="clear" w:color="auto" w:fill="auto"/>
            <w:vAlign w:val="bottom"/>
          </w:tcPr>
          <w:p w:rsidR="00B331D8" w:rsidRPr="00B331D8" w:rsidRDefault="00B331D8" w:rsidP="00B331D8">
            <w:pPr>
              <w:rPr>
                <w:rFonts w:ascii="Calibri" w:hAnsi="Calibri"/>
                <w:color w:val="000000"/>
                <w:sz w:val="20"/>
                <w:szCs w:val="20"/>
              </w:rPr>
            </w:pPr>
            <w:r w:rsidRPr="00B331D8">
              <w:rPr>
                <w:rFonts w:ascii="Calibri" w:hAnsi="Calibri"/>
                <w:color w:val="000000"/>
                <w:sz w:val="20"/>
                <w:szCs w:val="20"/>
              </w:rPr>
              <w:t>Tier 4: Over 22</w:t>
            </w:r>
            <w:r>
              <w:rPr>
                <w:rFonts w:ascii="Calibri" w:hAnsi="Calibri"/>
                <w:color w:val="000000"/>
                <w:sz w:val="20"/>
                <w:szCs w:val="20"/>
              </w:rPr>
              <w:t>,</w:t>
            </w:r>
            <w:r w:rsidRPr="00B331D8">
              <w:rPr>
                <w:rFonts w:ascii="Calibri" w:hAnsi="Calibri"/>
                <w:color w:val="000000"/>
                <w:sz w:val="20"/>
                <w:szCs w:val="20"/>
              </w:rPr>
              <w:t>000</w:t>
            </w:r>
          </w:p>
        </w:tc>
        <w:tc>
          <w:tcPr>
            <w:tcW w:w="1155" w:type="dxa"/>
            <w:shd w:val="clear" w:color="auto" w:fill="auto"/>
            <w:vAlign w:val="bottom"/>
          </w:tcPr>
          <w:p w:rsidR="00B331D8" w:rsidRPr="00B331D8" w:rsidRDefault="00B331D8" w:rsidP="00B331D8">
            <w:pPr>
              <w:jc w:val="center"/>
              <w:rPr>
                <w:rFonts w:ascii="Calibri" w:hAnsi="Calibri"/>
                <w:color w:val="000000"/>
                <w:sz w:val="20"/>
                <w:szCs w:val="20"/>
              </w:rPr>
            </w:pPr>
          </w:p>
        </w:tc>
        <w:tc>
          <w:tcPr>
            <w:tcW w:w="1155" w:type="dxa"/>
            <w:shd w:val="clear" w:color="auto" w:fill="auto"/>
            <w:vAlign w:val="bottom"/>
          </w:tcPr>
          <w:p w:rsidR="00B331D8" w:rsidRPr="00B331D8" w:rsidRDefault="00B331D8" w:rsidP="00B331D8">
            <w:pPr>
              <w:jc w:val="center"/>
              <w:rPr>
                <w:rFonts w:ascii="Calibri" w:hAnsi="Calibri"/>
                <w:color w:val="000000"/>
                <w:sz w:val="20"/>
                <w:szCs w:val="22"/>
              </w:rPr>
            </w:pPr>
            <w:r w:rsidRPr="00B331D8">
              <w:rPr>
                <w:rFonts w:ascii="Calibri" w:hAnsi="Calibri"/>
                <w:color w:val="000000"/>
                <w:sz w:val="20"/>
                <w:szCs w:val="22"/>
              </w:rPr>
              <w:t>$9.83</w:t>
            </w:r>
          </w:p>
        </w:tc>
      </w:tr>
    </w:tbl>
    <w:p w:rsidR="00704183" w:rsidRDefault="00704183" w:rsidP="00704183">
      <w:pPr>
        <w:pStyle w:val="ListParagraph"/>
        <w:jc w:val="both"/>
        <w:rPr>
          <w:rFonts w:asciiTheme="minorHAnsi" w:hAnsiTheme="minorHAnsi"/>
          <w:sz w:val="22"/>
          <w:szCs w:val="22"/>
        </w:rPr>
      </w:pPr>
      <w:r>
        <w:rPr>
          <w:rFonts w:asciiTheme="minorHAnsi" w:hAnsiTheme="minorHAnsi"/>
          <w:sz w:val="22"/>
          <w:szCs w:val="22"/>
        </w:rPr>
        <w:t xml:space="preserve"> </w:t>
      </w:r>
    </w:p>
    <w:p w:rsidR="00704183" w:rsidRDefault="00704183" w:rsidP="00704183">
      <w:pPr>
        <w:pStyle w:val="ListParagraph"/>
        <w:numPr>
          <w:ilvl w:val="0"/>
          <w:numId w:val="13"/>
        </w:numPr>
        <w:jc w:val="both"/>
        <w:rPr>
          <w:rFonts w:asciiTheme="minorHAnsi" w:hAnsiTheme="minorHAnsi"/>
          <w:sz w:val="22"/>
          <w:szCs w:val="22"/>
        </w:rPr>
      </w:pPr>
      <w:r>
        <w:rPr>
          <w:rFonts w:asciiTheme="minorHAnsi" w:hAnsiTheme="minorHAnsi"/>
          <w:sz w:val="22"/>
          <w:szCs w:val="22"/>
        </w:rPr>
        <w:t>Why change from three tiers to four, and why alter the tier levels?</w:t>
      </w:r>
    </w:p>
    <w:p w:rsidR="00704183" w:rsidRDefault="00704183" w:rsidP="00704183">
      <w:pPr>
        <w:pStyle w:val="ListParagraph"/>
        <w:jc w:val="both"/>
        <w:rPr>
          <w:rFonts w:asciiTheme="minorHAnsi" w:hAnsiTheme="minorHAnsi"/>
          <w:sz w:val="22"/>
          <w:szCs w:val="22"/>
        </w:rPr>
      </w:pPr>
    </w:p>
    <w:p w:rsidR="00704183" w:rsidRDefault="00704183" w:rsidP="00704183">
      <w:pPr>
        <w:pStyle w:val="ListParagraph"/>
        <w:numPr>
          <w:ilvl w:val="1"/>
          <w:numId w:val="13"/>
        </w:numPr>
        <w:jc w:val="both"/>
        <w:rPr>
          <w:rFonts w:asciiTheme="minorHAnsi" w:hAnsiTheme="minorHAnsi"/>
          <w:sz w:val="22"/>
          <w:szCs w:val="22"/>
        </w:rPr>
      </w:pPr>
      <w:r>
        <w:rPr>
          <w:rFonts w:asciiTheme="minorHAnsi" w:hAnsiTheme="minorHAnsi"/>
          <w:sz w:val="22"/>
          <w:szCs w:val="22"/>
        </w:rPr>
        <w:t>MFSG developed the updated rate structure with several goals in mind:</w:t>
      </w:r>
    </w:p>
    <w:p w:rsidR="00704183" w:rsidRDefault="00704183" w:rsidP="00704183">
      <w:pPr>
        <w:pStyle w:val="ListParagraph"/>
        <w:numPr>
          <w:ilvl w:val="2"/>
          <w:numId w:val="13"/>
        </w:numPr>
        <w:jc w:val="both"/>
        <w:rPr>
          <w:rFonts w:asciiTheme="minorHAnsi" w:hAnsiTheme="minorHAnsi"/>
          <w:sz w:val="22"/>
          <w:szCs w:val="22"/>
        </w:rPr>
      </w:pPr>
      <w:r>
        <w:rPr>
          <w:rFonts w:asciiTheme="minorHAnsi" w:hAnsiTheme="minorHAnsi"/>
          <w:sz w:val="22"/>
          <w:szCs w:val="22"/>
        </w:rPr>
        <w:t>Sufficient revenue generation</w:t>
      </w:r>
    </w:p>
    <w:p w:rsidR="00704183" w:rsidRDefault="00704183" w:rsidP="00704183">
      <w:pPr>
        <w:pStyle w:val="ListParagraph"/>
        <w:numPr>
          <w:ilvl w:val="2"/>
          <w:numId w:val="13"/>
        </w:numPr>
        <w:jc w:val="both"/>
        <w:rPr>
          <w:rFonts w:asciiTheme="minorHAnsi" w:hAnsiTheme="minorHAnsi"/>
          <w:sz w:val="22"/>
          <w:szCs w:val="22"/>
        </w:rPr>
      </w:pPr>
      <w:r>
        <w:rPr>
          <w:rFonts w:asciiTheme="minorHAnsi" w:hAnsiTheme="minorHAnsi"/>
          <w:sz w:val="22"/>
          <w:szCs w:val="22"/>
        </w:rPr>
        <w:t>Encouragement of conservation</w:t>
      </w:r>
    </w:p>
    <w:p w:rsidR="00704183" w:rsidRDefault="00704183" w:rsidP="00704183">
      <w:pPr>
        <w:pStyle w:val="ListParagraph"/>
        <w:numPr>
          <w:ilvl w:val="2"/>
          <w:numId w:val="13"/>
        </w:numPr>
        <w:jc w:val="both"/>
        <w:rPr>
          <w:rFonts w:asciiTheme="minorHAnsi" w:hAnsiTheme="minorHAnsi"/>
          <w:sz w:val="22"/>
          <w:szCs w:val="22"/>
        </w:rPr>
      </w:pPr>
      <w:r>
        <w:rPr>
          <w:rFonts w:asciiTheme="minorHAnsi" w:hAnsiTheme="minorHAnsi"/>
          <w:sz w:val="22"/>
          <w:szCs w:val="22"/>
        </w:rPr>
        <w:t>Affordability, especially for low users</w:t>
      </w:r>
    </w:p>
    <w:p w:rsidR="00704183" w:rsidRDefault="00704183" w:rsidP="00704183">
      <w:pPr>
        <w:pStyle w:val="ListParagraph"/>
        <w:numPr>
          <w:ilvl w:val="2"/>
          <w:numId w:val="13"/>
        </w:numPr>
        <w:jc w:val="both"/>
        <w:rPr>
          <w:rFonts w:asciiTheme="minorHAnsi" w:hAnsiTheme="minorHAnsi"/>
          <w:sz w:val="22"/>
          <w:szCs w:val="22"/>
        </w:rPr>
      </w:pPr>
      <w:r>
        <w:rPr>
          <w:rFonts w:asciiTheme="minorHAnsi" w:hAnsiTheme="minorHAnsi"/>
          <w:sz w:val="22"/>
          <w:szCs w:val="22"/>
        </w:rPr>
        <w:t>Ease of administration</w:t>
      </w:r>
    </w:p>
    <w:p w:rsidR="00704183" w:rsidRDefault="00704183" w:rsidP="00704183">
      <w:pPr>
        <w:pStyle w:val="ListParagraph"/>
        <w:ind w:left="1440"/>
        <w:jc w:val="both"/>
        <w:rPr>
          <w:rFonts w:asciiTheme="minorHAnsi" w:hAnsiTheme="minorHAnsi"/>
          <w:sz w:val="22"/>
          <w:szCs w:val="22"/>
        </w:rPr>
      </w:pPr>
    </w:p>
    <w:p w:rsidR="00704183" w:rsidRDefault="00704183" w:rsidP="00704183">
      <w:pPr>
        <w:pStyle w:val="ListParagraph"/>
        <w:ind w:left="1440"/>
        <w:jc w:val="both"/>
        <w:rPr>
          <w:rFonts w:asciiTheme="minorHAnsi" w:hAnsiTheme="minorHAnsi"/>
          <w:sz w:val="22"/>
          <w:szCs w:val="22"/>
        </w:rPr>
      </w:pPr>
      <w:r>
        <w:rPr>
          <w:rFonts w:asciiTheme="minorHAnsi" w:hAnsiTheme="minorHAnsi"/>
          <w:sz w:val="22"/>
          <w:szCs w:val="22"/>
        </w:rPr>
        <w:t xml:space="preserve">MFSG analyzed the specific consumption habits of all of Orland Park’s customers in order to develop rate tiers that achieved the above goals. The first tier is targeted at capturing </w:t>
      </w:r>
      <w:r w:rsidR="00F71714">
        <w:rPr>
          <w:rFonts w:asciiTheme="minorHAnsi" w:hAnsiTheme="minorHAnsi"/>
          <w:sz w:val="22"/>
          <w:szCs w:val="22"/>
        </w:rPr>
        <w:t>usage levels that reflect conservation standards set by the American Water Works Association’s Manual M1, the industry standard water rate setting manual. A family of two using about 60 gallons per day per person will only ever be charged the first tier rate. The second tier is set at 12,000 gallons to capture all usage under the median usage of residential users. That is, 50% of incorporated customer bills will never reach above tier two. Tier three is set at 22,000 to capture up to 75% of the water use billed by the Village. Tier four, above 22,000 per bi-monthly billing period, captures the remaining 25% of consumption used by very high water users. The usage in this tier is responsible for incurring additional costs related to the supply, storage, and delivery of water.</w:t>
      </w:r>
    </w:p>
    <w:p w:rsidR="00F71714" w:rsidRDefault="00F71714" w:rsidP="00F71714">
      <w:pPr>
        <w:jc w:val="both"/>
        <w:rPr>
          <w:rFonts w:asciiTheme="minorHAnsi" w:hAnsiTheme="minorHAnsi"/>
          <w:sz w:val="22"/>
          <w:szCs w:val="22"/>
        </w:rPr>
      </w:pPr>
    </w:p>
    <w:p w:rsidR="00F71714" w:rsidRDefault="00F71714" w:rsidP="00F71714">
      <w:pPr>
        <w:pStyle w:val="ListParagraph"/>
        <w:numPr>
          <w:ilvl w:val="0"/>
          <w:numId w:val="13"/>
        </w:numPr>
        <w:jc w:val="both"/>
        <w:rPr>
          <w:rFonts w:asciiTheme="minorHAnsi" w:hAnsiTheme="minorHAnsi"/>
          <w:sz w:val="22"/>
          <w:szCs w:val="22"/>
        </w:rPr>
      </w:pPr>
      <w:r>
        <w:rPr>
          <w:rFonts w:asciiTheme="minorHAnsi" w:hAnsiTheme="minorHAnsi"/>
          <w:sz w:val="22"/>
          <w:szCs w:val="22"/>
        </w:rPr>
        <w:t>Why set the differentials between the tiers?</w:t>
      </w:r>
    </w:p>
    <w:p w:rsidR="00F71714" w:rsidRDefault="00F71714" w:rsidP="00F71714">
      <w:pPr>
        <w:pStyle w:val="ListParagraph"/>
        <w:ind w:left="1440"/>
        <w:jc w:val="both"/>
        <w:rPr>
          <w:rFonts w:asciiTheme="minorHAnsi" w:hAnsiTheme="minorHAnsi"/>
          <w:sz w:val="22"/>
          <w:szCs w:val="22"/>
        </w:rPr>
      </w:pPr>
    </w:p>
    <w:p w:rsidR="00F71714" w:rsidRDefault="00F71714" w:rsidP="00F71714">
      <w:pPr>
        <w:pStyle w:val="ListParagraph"/>
        <w:numPr>
          <w:ilvl w:val="1"/>
          <w:numId w:val="13"/>
        </w:numPr>
        <w:jc w:val="both"/>
        <w:rPr>
          <w:rFonts w:asciiTheme="minorHAnsi" w:hAnsiTheme="minorHAnsi"/>
          <w:sz w:val="22"/>
          <w:szCs w:val="22"/>
        </w:rPr>
      </w:pPr>
      <w:r>
        <w:rPr>
          <w:rFonts w:asciiTheme="minorHAnsi" w:hAnsiTheme="minorHAnsi"/>
          <w:sz w:val="22"/>
          <w:szCs w:val="22"/>
        </w:rPr>
        <w:t>The differentials between the rate tiers are as follows:</w:t>
      </w:r>
    </w:p>
    <w:p w:rsidR="00F71714" w:rsidRDefault="00F71714" w:rsidP="00C029DD">
      <w:pPr>
        <w:pStyle w:val="ListParagraph"/>
        <w:ind w:left="1440"/>
        <w:jc w:val="both"/>
        <w:rPr>
          <w:rFonts w:asciiTheme="minorHAnsi" w:hAnsiTheme="minorHAnsi"/>
          <w:sz w:val="22"/>
          <w:szCs w:val="22"/>
        </w:rPr>
      </w:pPr>
    </w:p>
    <w:tbl>
      <w:tblPr>
        <w:tblW w:w="5565" w:type="dxa"/>
        <w:tblInd w:w="14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0"/>
        <w:gridCol w:w="1260"/>
        <w:gridCol w:w="1155"/>
      </w:tblGrid>
      <w:tr w:rsidR="00F71714" w:rsidRPr="00B331D8" w:rsidTr="00F71714">
        <w:trPr>
          <w:trHeight w:val="144"/>
        </w:trPr>
        <w:tc>
          <w:tcPr>
            <w:tcW w:w="3150" w:type="dxa"/>
            <w:shd w:val="clear" w:color="auto" w:fill="0000A2"/>
            <w:vAlign w:val="center"/>
          </w:tcPr>
          <w:p w:rsidR="00F71714" w:rsidRPr="00B331D8" w:rsidRDefault="00F71714" w:rsidP="00A53120">
            <w:pPr>
              <w:jc w:val="center"/>
              <w:rPr>
                <w:rFonts w:asciiTheme="minorHAnsi" w:hAnsiTheme="minorHAnsi"/>
                <w:b/>
                <w:bCs/>
                <w:color w:val="FFFFFF" w:themeColor="background1"/>
                <w:sz w:val="20"/>
                <w:szCs w:val="20"/>
              </w:rPr>
            </w:pPr>
          </w:p>
        </w:tc>
        <w:tc>
          <w:tcPr>
            <w:tcW w:w="1260" w:type="dxa"/>
            <w:shd w:val="clear" w:color="auto" w:fill="0000A2"/>
            <w:vAlign w:val="center"/>
          </w:tcPr>
          <w:p w:rsidR="00F71714" w:rsidRPr="00B331D8" w:rsidRDefault="00F71714" w:rsidP="00A53120">
            <w:pPr>
              <w:jc w:val="center"/>
              <w:rPr>
                <w:rFonts w:ascii="Calibri" w:hAnsi="Calibri"/>
                <w:b/>
                <w:bCs/>
                <w:color w:val="FFFFFF"/>
                <w:sz w:val="20"/>
                <w:szCs w:val="20"/>
              </w:rPr>
            </w:pPr>
            <w:r>
              <w:rPr>
                <w:rFonts w:ascii="Calibri" w:hAnsi="Calibri"/>
                <w:b/>
                <w:bCs/>
                <w:color w:val="FFFFFF"/>
                <w:sz w:val="20"/>
                <w:szCs w:val="20"/>
              </w:rPr>
              <w:t>Differential</w:t>
            </w:r>
          </w:p>
        </w:tc>
        <w:tc>
          <w:tcPr>
            <w:tcW w:w="1155" w:type="dxa"/>
            <w:shd w:val="clear" w:color="auto" w:fill="0000A2"/>
            <w:vAlign w:val="center"/>
          </w:tcPr>
          <w:p w:rsidR="00F71714" w:rsidRPr="00B331D8" w:rsidRDefault="00F71714" w:rsidP="00A53120">
            <w:pPr>
              <w:jc w:val="center"/>
              <w:rPr>
                <w:rFonts w:ascii="Calibri" w:hAnsi="Calibri"/>
                <w:b/>
                <w:bCs/>
                <w:color w:val="FFFFFF"/>
                <w:sz w:val="20"/>
                <w:szCs w:val="20"/>
              </w:rPr>
            </w:pPr>
            <w:r>
              <w:rPr>
                <w:rFonts w:ascii="Calibri" w:hAnsi="Calibri"/>
                <w:b/>
                <w:bCs/>
                <w:color w:val="FFFFFF"/>
                <w:sz w:val="20"/>
                <w:szCs w:val="20"/>
              </w:rPr>
              <w:t>Rate</w:t>
            </w:r>
          </w:p>
        </w:tc>
      </w:tr>
      <w:tr w:rsidR="00F71714" w:rsidRPr="00B331D8" w:rsidTr="00F71714">
        <w:trPr>
          <w:trHeight w:val="144"/>
        </w:trPr>
        <w:tc>
          <w:tcPr>
            <w:tcW w:w="3150" w:type="dxa"/>
            <w:shd w:val="clear" w:color="auto" w:fill="auto"/>
            <w:vAlign w:val="bottom"/>
          </w:tcPr>
          <w:p w:rsidR="00F71714" w:rsidRPr="00B331D8" w:rsidRDefault="00F71714" w:rsidP="00A53120">
            <w:pPr>
              <w:rPr>
                <w:rFonts w:ascii="Calibri" w:hAnsi="Calibri"/>
                <w:color w:val="000000"/>
                <w:sz w:val="20"/>
                <w:szCs w:val="20"/>
              </w:rPr>
            </w:pPr>
            <w:r w:rsidRPr="00B331D8">
              <w:rPr>
                <w:rFonts w:ascii="Calibri" w:hAnsi="Calibri"/>
                <w:color w:val="000000"/>
                <w:sz w:val="20"/>
                <w:szCs w:val="20"/>
              </w:rPr>
              <w:t xml:space="preserve">Tier 1: 0 </w:t>
            </w:r>
            <w:r>
              <w:rPr>
                <w:rFonts w:ascii="Calibri" w:hAnsi="Calibri"/>
                <w:color w:val="000000"/>
                <w:sz w:val="20"/>
                <w:szCs w:val="20"/>
              </w:rPr>
              <w:t>–</w:t>
            </w:r>
            <w:r w:rsidRPr="00B331D8">
              <w:rPr>
                <w:rFonts w:ascii="Calibri" w:hAnsi="Calibri"/>
                <w:color w:val="000000"/>
                <w:sz w:val="20"/>
                <w:szCs w:val="20"/>
              </w:rPr>
              <w:t xml:space="preserve"> 7</w:t>
            </w:r>
            <w:r>
              <w:rPr>
                <w:rFonts w:ascii="Calibri" w:hAnsi="Calibri"/>
                <w:color w:val="000000"/>
                <w:sz w:val="20"/>
                <w:szCs w:val="20"/>
              </w:rPr>
              <w:t>,</w:t>
            </w:r>
            <w:r w:rsidRPr="00B331D8">
              <w:rPr>
                <w:rFonts w:ascii="Calibri" w:hAnsi="Calibri"/>
                <w:color w:val="000000"/>
                <w:sz w:val="20"/>
                <w:szCs w:val="20"/>
              </w:rPr>
              <w:t>000</w:t>
            </w:r>
          </w:p>
        </w:tc>
        <w:tc>
          <w:tcPr>
            <w:tcW w:w="1260" w:type="dxa"/>
            <w:shd w:val="clear" w:color="auto" w:fill="auto"/>
            <w:vAlign w:val="bottom"/>
          </w:tcPr>
          <w:p w:rsidR="00F71714" w:rsidRPr="00B331D8" w:rsidRDefault="00F71714" w:rsidP="00A53120">
            <w:pPr>
              <w:jc w:val="center"/>
              <w:rPr>
                <w:rFonts w:ascii="Calibri" w:hAnsi="Calibri"/>
                <w:color w:val="000000"/>
                <w:sz w:val="20"/>
                <w:szCs w:val="20"/>
              </w:rPr>
            </w:pPr>
            <w:r>
              <w:rPr>
                <w:rFonts w:ascii="Calibri" w:hAnsi="Calibri"/>
                <w:color w:val="000000"/>
                <w:sz w:val="20"/>
                <w:szCs w:val="20"/>
              </w:rPr>
              <w:t>1.00</w:t>
            </w:r>
          </w:p>
        </w:tc>
        <w:tc>
          <w:tcPr>
            <w:tcW w:w="1155" w:type="dxa"/>
            <w:shd w:val="clear" w:color="auto" w:fill="auto"/>
            <w:vAlign w:val="bottom"/>
          </w:tcPr>
          <w:p w:rsidR="00F71714" w:rsidRPr="00B331D8" w:rsidRDefault="00F71714" w:rsidP="00A53120">
            <w:pPr>
              <w:jc w:val="center"/>
              <w:rPr>
                <w:rFonts w:ascii="Calibri" w:hAnsi="Calibri"/>
                <w:color w:val="000000"/>
                <w:sz w:val="20"/>
                <w:szCs w:val="22"/>
              </w:rPr>
            </w:pPr>
            <w:r w:rsidRPr="00B331D8">
              <w:rPr>
                <w:rFonts w:ascii="Calibri" w:hAnsi="Calibri"/>
                <w:color w:val="000000"/>
                <w:sz w:val="20"/>
                <w:szCs w:val="22"/>
              </w:rPr>
              <w:t>$5.62</w:t>
            </w:r>
          </w:p>
        </w:tc>
      </w:tr>
      <w:tr w:rsidR="00F71714" w:rsidRPr="00B331D8" w:rsidTr="00F71714">
        <w:trPr>
          <w:trHeight w:val="144"/>
        </w:trPr>
        <w:tc>
          <w:tcPr>
            <w:tcW w:w="3150" w:type="dxa"/>
            <w:shd w:val="clear" w:color="auto" w:fill="auto"/>
            <w:vAlign w:val="bottom"/>
          </w:tcPr>
          <w:p w:rsidR="00F71714" w:rsidRPr="00B331D8" w:rsidRDefault="00F71714" w:rsidP="00A53120">
            <w:pPr>
              <w:rPr>
                <w:rFonts w:ascii="Calibri" w:hAnsi="Calibri"/>
                <w:color w:val="000000"/>
                <w:sz w:val="20"/>
                <w:szCs w:val="20"/>
              </w:rPr>
            </w:pPr>
            <w:r w:rsidRPr="00B331D8">
              <w:rPr>
                <w:rFonts w:ascii="Calibri" w:hAnsi="Calibri"/>
                <w:color w:val="000000"/>
                <w:sz w:val="20"/>
                <w:szCs w:val="20"/>
              </w:rPr>
              <w:t>Tier 2: 7</w:t>
            </w:r>
            <w:r>
              <w:rPr>
                <w:rFonts w:ascii="Calibri" w:hAnsi="Calibri"/>
                <w:color w:val="000000"/>
                <w:sz w:val="20"/>
                <w:szCs w:val="20"/>
              </w:rPr>
              <w:t>,</w:t>
            </w:r>
            <w:r w:rsidRPr="00B331D8">
              <w:rPr>
                <w:rFonts w:ascii="Calibri" w:hAnsi="Calibri"/>
                <w:color w:val="000000"/>
                <w:sz w:val="20"/>
                <w:szCs w:val="20"/>
              </w:rPr>
              <w:t xml:space="preserve">000 </w:t>
            </w:r>
            <w:r>
              <w:rPr>
                <w:rFonts w:ascii="Calibri" w:hAnsi="Calibri"/>
                <w:color w:val="000000"/>
                <w:sz w:val="20"/>
                <w:szCs w:val="20"/>
              </w:rPr>
              <w:t>–</w:t>
            </w:r>
            <w:r w:rsidRPr="00B331D8">
              <w:rPr>
                <w:rFonts w:ascii="Calibri" w:hAnsi="Calibri"/>
                <w:color w:val="000000"/>
                <w:sz w:val="20"/>
                <w:szCs w:val="20"/>
              </w:rPr>
              <w:t xml:space="preserve"> 12</w:t>
            </w:r>
            <w:r>
              <w:rPr>
                <w:rFonts w:ascii="Calibri" w:hAnsi="Calibri"/>
                <w:color w:val="000000"/>
                <w:sz w:val="20"/>
                <w:szCs w:val="20"/>
              </w:rPr>
              <w:t>,</w:t>
            </w:r>
            <w:r w:rsidRPr="00B331D8">
              <w:rPr>
                <w:rFonts w:ascii="Calibri" w:hAnsi="Calibri"/>
                <w:color w:val="000000"/>
                <w:sz w:val="20"/>
                <w:szCs w:val="20"/>
              </w:rPr>
              <w:t>000</w:t>
            </w:r>
          </w:p>
        </w:tc>
        <w:tc>
          <w:tcPr>
            <w:tcW w:w="1260" w:type="dxa"/>
            <w:shd w:val="clear" w:color="auto" w:fill="auto"/>
            <w:vAlign w:val="bottom"/>
          </w:tcPr>
          <w:p w:rsidR="00F71714" w:rsidRPr="00B331D8" w:rsidRDefault="00F71714" w:rsidP="00A53120">
            <w:pPr>
              <w:jc w:val="center"/>
              <w:rPr>
                <w:rFonts w:ascii="Calibri" w:hAnsi="Calibri"/>
                <w:color w:val="000000"/>
                <w:sz w:val="20"/>
                <w:szCs w:val="20"/>
              </w:rPr>
            </w:pPr>
            <w:r>
              <w:rPr>
                <w:rFonts w:ascii="Calibri" w:hAnsi="Calibri"/>
                <w:color w:val="000000"/>
                <w:sz w:val="20"/>
                <w:szCs w:val="20"/>
              </w:rPr>
              <w:t>1.25</w:t>
            </w:r>
          </w:p>
        </w:tc>
        <w:tc>
          <w:tcPr>
            <w:tcW w:w="1155" w:type="dxa"/>
            <w:shd w:val="clear" w:color="auto" w:fill="auto"/>
            <w:vAlign w:val="bottom"/>
          </w:tcPr>
          <w:p w:rsidR="00F71714" w:rsidRPr="00B331D8" w:rsidRDefault="00F71714" w:rsidP="00A53120">
            <w:pPr>
              <w:jc w:val="center"/>
              <w:rPr>
                <w:rFonts w:ascii="Calibri" w:hAnsi="Calibri"/>
                <w:color w:val="000000"/>
                <w:sz w:val="20"/>
                <w:szCs w:val="22"/>
              </w:rPr>
            </w:pPr>
            <w:r w:rsidRPr="00B331D8">
              <w:rPr>
                <w:rFonts w:ascii="Calibri" w:hAnsi="Calibri"/>
                <w:color w:val="000000"/>
                <w:sz w:val="20"/>
                <w:szCs w:val="22"/>
              </w:rPr>
              <w:t>$7.02</w:t>
            </w:r>
          </w:p>
        </w:tc>
      </w:tr>
      <w:tr w:rsidR="00F71714" w:rsidRPr="00B331D8" w:rsidTr="00F71714">
        <w:trPr>
          <w:trHeight w:val="144"/>
        </w:trPr>
        <w:tc>
          <w:tcPr>
            <w:tcW w:w="3150" w:type="dxa"/>
            <w:shd w:val="clear" w:color="auto" w:fill="auto"/>
            <w:vAlign w:val="bottom"/>
          </w:tcPr>
          <w:p w:rsidR="00F71714" w:rsidRPr="00B331D8" w:rsidRDefault="00F71714" w:rsidP="00A53120">
            <w:pPr>
              <w:rPr>
                <w:rFonts w:ascii="Calibri" w:hAnsi="Calibri"/>
                <w:color w:val="000000"/>
                <w:sz w:val="20"/>
                <w:szCs w:val="20"/>
              </w:rPr>
            </w:pPr>
            <w:r w:rsidRPr="00B331D8">
              <w:rPr>
                <w:rFonts w:ascii="Calibri" w:hAnsi="Calibri"/>
                <w:color w:val="000000"/>
                <w:sz w:val="20"/>
                <w:szCs w:val="20"/>
              </w:rPr>
              <w:t>Tier 3: 12</w:t>
            </w:r>
            <w:r>
              <w:rPr>
                <w:rFonts w:ascii="Calibri" w:hAnsi="Calibri"/>
                <w:color w:val="000000"/>
                <w:sz w:val="20"/>
                <w:szCs w:val="20"/>
              </w:rPr>
              <w:t>,</w:t>
            </w:r>
            <w:r w:rsidRPr="00B331D8">
              <w:rPr>
                <w:rFonts w:ascii="Calibri" w:hAnsi="Calibri"/>
                <w:color w:val="000000"/>
                <w:sz w:val="20"/>
                <w:szCs w:val="20"/>
              </w:rPr>
              <w:t xml:space="preserve">000 </w:t>
            </w:r>
            <w:r>
              <w:rPr>
                <w:rFonts w:ascii="Calibri" w:hAnsi="Calibri"/>
                <w:color w:val="000000"/>
                <w:sz w:val="20"/>
                <w:szCs w:val="20"/>
              </w:rPr>
              <w:t>–</w:t>
            </w:r>
            <w:r w:rsidRPr="00B331D8">
              <w:rPr>
                <w:rFonts w:ascii="Calibri" w:hAnsi="Calibri"/>
                <w:color w:val="000000"/>
                <w:sz w:val="20"/>
                <w:szCs w:val="20"/>
              </w:rPr>
              <w:t xml:space="preserve"> 22</w:t>
            </w:r>
            <w:r>
              <w:rPr>
                <w:rFonts w:ascii="Calibri" w:hAnsi="Calibri"/>
                <w:color w:val="000000"/>
                <w:sz w:val="20"/>
                <w:szCs w:val="20"/>
              </w:rPr>
              <w:t>,</w:t>
            </w:r>
            <w:r w:rsidRPr="00B331D8">
              <w:rPr>
                <w:rFonts w:ascii="Calibri" w:hAnsi="Calibri"/>
                <w:color w:val="000000"/>
                <w:sz w:val="20"/>
                <w:szCs w:val="20"/>
              </w:rPr>
              <w:t>000</w:t>
            </w:r>
          </w:p>
        </w:tc>
        <w:tc>
          <w:tcPr>
            <w:tcW w:w="1260" w:type="dxa"/>
            <w:shd w:val="clear" w:color="auto" w:fill="auto"/>
            <w:vAlign w:val="bottom"/>
          </w:tcPr>
          <w:p w:rsidR="00F71714" w:rsidRPr="00B331D8" w:rsidRDefault="00F71714" w:rsidP="00A53120">
            <w:pPr>
              <w:jc w:val="center"/>
              <w:rPr>
                <w:rFonts w:ascii="Calibri" w:hAnsi="Calibri"/>
                <w:color w:val="000000"/>
                <w:sz w:val="20"/>
                <w:szCs w:val="20"/>
              </w:rPr>
            </w:pPr>
            <w:r>
              <w:rPr>
                <w:rFonts w:ascii="Calibri" w:hAnsi="Calibri"/>
                <w:color w:val="000000"/>
                <w:sz w:val="20"/>
                <w:szCs w:val="20"/>
              </w:rPr>
              <w:t>1.50</w:t>
            </w:r>
          </w:p>
        </w:tc>
        <w:tc>
          <w:tcPr>
            <w:tcW w:w="1155" w:type="dxa"/>
            <w:shd w:val="clear" w:color="auto" w:fill="auto"/>
            <w:vAlign w:val="bottom"/>
          </w:tcPr>
          <w:p w:rsidR="00F71714" w:rsidRPr="00B331D8" w:rsidRDefault="00F71714" w:rsidP="00A53120">
            <w:pPr>
              <w:jc w:val="center"/>
              <w:rPr>
                <w:rFonts w:ascii="Calibri" w:hAnsi="Calibri"/>
                <w:color w:val="000000"/>
                <w:sz w:val="20"/>
                <w:szCs w:val="22"/>
              </w:rPr>
            </w:pPr>
            <w:r w:rsidRPr="00B331D8">
              <w:rPr>
                <w:rFonts w:ascii="Calibri" w:hAnsi="Calibri"/>
                <w:color w:val="000000"/>
                <w:sz w:val="20"/>
                <w:szCs w:val="22"/>
              </w:rPr>
              <w:t>$8.43</w:t>
            </w:r>
          </w:p>
        </w:tc>
      </w:tr>
      <w:tr w:rsidR="00F71714" w:rsidRPr="00B331D8" w:rsidTr="00F71714">
        <w:trPr>
          <w:trHeight w:val="144"/>
        </w:trPr>
        <w:tc>
          <w:tcPr>
            <w:tcW w:w="3150" w:type="dxa"/>
            <w:shd w:val="clear" w:color="auto" w:fill="auto"/>
            <w:vAlign w:val="bottom"/>
          </w:tcPr>
          <w:p w:rsidR="00F71714" w:rsidRPr="00B331D8" w:rsidRDefault="00F71714" w:rsidP="00A53120">
            <w:pPr>
              <w:rPr>
                <w:rFonts w:ascii="Calibri" w:hAnsi="Calibri"/>
                <w:color w:val="000000"/>
                <w:sz w:val="20"/>
                <w:szCs w:val="20"/>
              </w:rPr>
            </w:pPr>
            <w:r w:rsidRPr="00B331D8">
              <w:rPr>
                <w:rFonts w:ascii="Calibri" w:hAnsi="Calibri"/>
                <w:color w:val="000000"/>
                <w:sz w:val="20"/>
                <w:szCs w:val="20"/>
              </w:rPr>
              <w:t>Tier 4: Over 22</w:t>
            </w:r>
            <w:r>
              <w:rPr>
                <w:rFonts w:ascii="Calibri" w:hAnsi="Calibri"/>
                <w:color w:val="000000"/>
                <w:sz w:val="20"/>
                <w:szCs w:val="20"/>
              </w:rPr>
              <w:t>,</w:t>
            </w:r>
            <w:r w:rsidRPr="00B331D8">
              <w:rPr>
                <w:rFonts w:ascii="Calibri" w:hAnsi="Calibri"/>
                <w:color w:val="000000"/>
                <w:sz w:val="20"/>
                <w:szCs w:val="20"/>
              </w:rPr>
              <w:t>000</w:t>
            </w:r>
          </w:p>
        </w:tc>
        <w:tc>
          <w:tcPr>
            <w:tcW w:w="1260" w:type="dxa"/>
            <w:shd w:val="clear" w:color="auto" w:fill="auto"/>
            <w:vAlign w:val="bottom"/>
          </w:tcPr>
          <w:p w:rsidR="00F71714" w:rsidRPr="00B331D8" w:rsidRDefault="00F71714" w:rsidP="00A53120">
            <w:pPr>
              <w:jc w:val="center"/>
              <w:rPr>
                <w:rFonts w:ascii="Calibri" w:hAnsi="Calibri"/>
                <w:color w:val="000000"/>
                <w:sz w:val="20"/>
                <w:szCs w:val="20"/>
              </w:rPr>
            </w:pPr>
            <w:r>
              <w:rPr>
                <w:rFonts w:ascii="Calibri" w:hAnsi="Calibri"/>
                <w:color w:val="000000"/>
                <w:sz w:val="20"/>
                <w:szCs w:val="20"/>
              </w:rPr>
              <w:t>1.75</w:t>
            </w:r>
          </w:p>
        </w:tc>
        <w:tc>
          <w:tcPr>
            <w:tcW w:w="1155" w:type="dxa"/>
            <w:shd w:val="clear" w:color="auto" w:fill="auto"/>
            <w:vAlign w:val="bottom"/>
          </w:tcPr>
          <w:p w:rsidR="00F71714" w:rsidRPr="00B331D8" w:rsidRDefault="00F71714" w:rsidP="00A53120">
            <w:pPr>
              <w:jc w:val="center"/>
              <w:rPr>
                <w:rFonts w:ascii="Calibri" w:hAnsi="Calibri"/>
                <w:color w:val="000000"/>
                <w:sz w:val="20"/>
                <w:szCs w:val="22"/>
              </w:rPr>
            </w:pPr>
            <w:r w:rsidRPr="00B331D8">
              <w:rPr>
                <w:rFonts w:ascii="Calibri" w:hAnsi="Calibri"/>
                <w:color w:val="000000"/>
                <w:sz w:val="20"/>
                <w:szCs w:val="22"/>
              </w:rPr>
              <w:t>$9.83</w:t>
            </w:r>
          </w:p>
        </w:tc>
      </w:tr>
    </w:tbl>
    <w:p w:rsidR="00F71714" w:rsidRPr="00F71714" w:rsidRDefault="00F71714" w:rsidP="00F71714">
      <w:pPr>
        <w:pStyle w:val="ListParagraph"/>
        <w:ind w:left="1440"/>
        <w:jc w:val="both"/>
        <w:rPr>
          <w:rFonts w:asciiTheme="minorHAnsi" w:hAnsiTheme="minorHAnsi"/>
          <w:sz w:val="22"/>
          <w:szCs w:val="22"/>
        </w:rPr>
      </w:pPr>
    </w:p>
    <w:p w:rsidR="00C029DD" w:rsidRPr="00C029DD" w:rsidRDefault="00C029DD" w:rsidP="00C029DD">
      <w:pPr>
        <w:pStyle w:val="ListParagraph"/>
        <w:ind w:left="1440"/>
        <w:jc w:val="both"/>
        <w:rPr>
          <w:rFonts w:asciiTheme="minorHAnsi" w:hAnsiTheme="minorHAnsi"/>
          <w:sz w:val="22"/>
          <w:szCs w:val="22"/>
        </w:rPr>
      </w:pPr>
      <w:r>
        <w:rPr>
          <w:rFonts w:asciiTheme="minorHAnsi" w:hAnsiTheme="minorHAnsi"/>
          <w:sz w:val="22"/>
          <w:szCs w:val="22"/>
        </w:rPr>
        <w:t xml:space="preserve">In general, water providers have a high level of discretion when setting rates within defined customer classes. The Village does not charge different rates to different </w:t>
      </w:r>
      <w:r>
        <w:rPr>
          <w:rFonts w:asciiTheme="minorHAnsi" w:hAnsiTheme="minorHAnsi"/>
          <w:sz w:val="22"/>
          <w:szCs w:val="22"/>
        </w:rPr>
        <w:lastRenderedPageBreak/>
        <w:t>customer classes (residential, commercial, industrial, etc.). The Village’s desire to encourage a certain level of conservation is achieved by charging an inclining block structure. The proposed structure achieves a level of conservation encouragement while only generating revenues equal to the costs of running the water system – the top tier rates are not set above and beyond the cost of water service. MFSG considers the proposed rate differentials to be reasonable.</w:t>
      </w:r>
    </w:p>
    <w:p w:rsidR="00704183" w:rsidRPr="00704183" w:rsidRDefault="00704183" w:rsidP="00704183">
      <w:pPr>
        <w:pStyle w:val="ListParagraph"/>
        <w:jc w:val="both"/>
        <w:rPr>
          <w:rFonts w:asciiTheme="minorHAnsi" w:hAnsiTheme="minorHAnsi"/>
          <w:sz w:val="22"/>
          <w:szCs w:val="22"/>
        </w:rPr>
      </w:pPr>
    </w:p>
    <w:p w:rsidR="00B331D8" w:rsidRDefault="00B331D8" w:rsidP="00A53120">
      <w:pPr>
        <w:pStyle w:val="ListParagraph"/>
        <w:numPr>
          <w:ilvl w:val="0"/>
          <w:numId w:val="13"/>
        </w:numPr>
        <w:jc w:val="both"/>
        <w:rPr>
          <w:rFonts w:asciiTheme="minorHAnsi" w:hAnsiTheme="minorHAnsi"/>
          <w:sz w:val="22"/>
          <w:szCs w:val="22"/>
        </w:rPr>
      </w:pPr>
      <w:r>
        <w:rPr>
          <w:rFonts w:asciiTheme="minorHAnsi" w:hAnsiTheme="minorHAnsi"/>
          <w:sz w:val="22"/>
          <w:szCs w:val="22"/>
        </w:rPr>
        <w:t>Recommended sewer rates:</w:t>
      </w:r>
    </w:p>
    <w:p w:rsidR="003A6C77" w:rsidRDefault="003A6C77" w:rsidP="003A6C77">
      <w:pPr>
        <w:pStyle w:val="ListParagraph"/>
        <w:ind w:left="1440"/>
        <w:jc w:val="both"/>
        <w:rPr>
          <w:rFonts w:asciiTheme="minorHAnsi" w:hAnsiTheme="minorHAnsi"/>
          <w:sz w:val="22"/>
          <w:szCs w:val="22"/>
        </w:rPr>
      </w:pPr>
    </w:p>
    <w:tbl>
      <w:tblPr>
        <w:tblW w:w="5460" w:type="dxa"/>
        <w:tblInd w:w="14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0"/>
        <w:gridCol w:w="1155"/>
        <w:gridCol w:w="1155"/>
      </w:tblGrid>
      <w:tr w:rsidR="00B331D8" w:rsidRPr="00B331D8" w:rsidTr="00A53120">
        <w:trPr>
          <w:trHeight w:val="144"/>
        </w:trPr>
        <w:tc>
          <w:tcPr>
            <w:tcW w:w="3150" w:type="dxa"/>
            <w:shd w:val="clear" w:color="auto" w:fill="0000A2"/>
            <w:vAlign w:val="center"/>
          </w:tcPr>
          <w:p w:rsidR="00B331D8" w:rsidRPr="00B331D8" w:rsidRDefault="00B331D8" w:rsidP="00A53120">
            <w:pPr>
              <w:jc w:val="center"/>
              <w:rPr>
                <w:rFonts w:asciiTheme="minorHAnsi" w:hAnsiTheme="minorHAnsi"/>
                <w:b/>
                <w:bCs/>
                <w:color w:val="FFFFFF" w:themeColor="background1"/>
                <w:sz w:val="20"/>
                <w:szCs w:val="20"/>
              </w:rPr>
            </w:pPr>
          </w:p>
        </w:tc>
        <w:tc>
          <w:tcPr>
            <w:tcW w:w="1155" w:type="dxa"/>
            <w:shd w:val="clear" w:color="auto" w:fill="0000A2"/>
            <w:vAlign w:val="center"/>
          </w:tcPr>
          <w:p w:rsidR="00B331D8" w:rsidRPr="00B331D8" w:rsidRDefault="00B331D8" w:rsidP="00A53120">
            <w:pPr>
              <w:jc w:val="center"/>
              <w:rPr>
                <w:rFonts w:ascii="Calibri" w:hAnsi="Calibri"/>
                <w:b/>
                <w:bCs/>
                <w:color w:val="FFFFFF"/>
                <w:sz w:val="20"/>
                <w:szCs w:val="20"/>
              </w:rPr>
            </w:pPr>
            <w:r w:rsidRPr="00B331D8">
              <w:rPr>
                <w:rFonts w:ascii="Calibri" w:hAnsi="Calibri"/>
                <w:b/>
                <w:bCs/>
                <w:color w:val="FFFFFF"/>
                <w:sz w:val="20"/>
                <w:szCs w:val="20"/>
              </w:rPr>
              <w:t>Previous</w:t>
            </w:r>
          </w:p>
          <w:p w:rsidR="00B331D8" w:rsidRPr="00B331D8" w:rsidRDefault="00B331D8" w:rsidP="00A53120">
            <w:pPr>
              <w:jc w:val="center"/>
              <w:rPr>
                <w:rFonts w:ascii="Calibri" w:hAnsi="Calibri"/>
                <w:b/>
                <w:bCs/>
                <w:color w:val="FFFFFF"/>
                <w:sz w:val="20"/>
                <w:szCs w:val="20"/>
              </w:rPr>
            </w:pPr>
            <w:r w:rsidRPr="00B331D8">
              <w:rPr>
                <w:rFonts w:ascii="Calibri" w:hAnsi="Calibri"/>
                <w:b/>
                <w:bCs/>
                <w:color w:val="FFFFFF"/>
                <w:sz w:val="20"/>
                <w:szCs w:val="20"/>
              </w:rPr>
              <w:t>FY 2015</w:t>
            </w:r>
          </w:p>
        </w:tc>
        <w:tc>
          <w:tcPr>
            <w:tcW w:w="1155" w:type="dxa"/>
            <w:shd w:val="clear" w:color="auto" w:fill="0000A2"/>
            <w:vAlign w:val="center"/>
          </w:tcPr>
          <w:p w:rsidR="00B331D8" w:rsidRPr="00B331D8" w:rsidRDefault="00B331D8" w:rsidP="00A53120">
            <w:pPr>
              <w:jc w:val="center"/>
              <w:rPr>
                <w:rFonts w:ascii="Calibri" w:hAnsi="Calibri"/>
                <w:b/>
                <w:bCs/>
                <w:color w:val="FFFFFF"/>
                <w:sz w:val="20"/>
                <w:szCs w:val="20"/>
              </w:rPr>
            </w:pPr>
            <w:r w:rsidRPr="00B331D8">
              <w:rPr>
                <w:rFonts w:ascii="Calibri" w:hAnsi="Calibri"/>
                <w:b/>
                <w:bCs/>
                <w:color w:val="FFFFFF"/>
                <w:sz w:val="20"/>
                <w:szCs w:val="20"/>
              </w:rPr>
              <w:t>Proposed FY 2016</w:t>
            </w:r>
          </w:p>
        </w:tc>
      </w:tr>
      <w:tr w:rsidR="00B331D8" w:rsidRPr="00B331D8" w:rsidTr="00A53120">
        <w:trPr>
          <w:trHeight w:val="144"/>
        </w:trPr>
        <w:tc>
          <w:tcPr>
            <w:tcW w:w="3150" w:type="dxa"/>
            <w:shd w:val="clear" w:color="auto" w:fill="auto"/>
            <w:vAlign w:val="center"/>
          </w:tcPr>
          <w:p w:rsidR="00B331D8" w:rsidRPr="00B331D8" w:rsidRDefault="00B331D8" w:rsidP="00A53120">
            <w:pPr>
              <w:rPr>
                <w:rFonts w:asciiTheme="minorHAnsi" w:eastAsia="MS PGothic" w:hAnsiTheme="minorHAnsi"/>
                <w:b/>
                <w:bCs/>
                <w:sz w:val="20"/>
                <w:szCs w:val="20"/>
              </w:rPr>
            </w:pPr>
            <w:r w:rsidRPr="00B331D8">
              <w:rPr>
                <w:rFonts w:asciiTheme="minorHAnsi" w:eastAsia="MS PGothic" w:hAnsiTheme="minorHAnsi"/>
                <w:b/>
                <w:bCs/>
                <w:sz w:val="20"/>
                <w:szCs w:val="20"/>
              </w:rPr>
              <w:t>Service Charge per Bill</w:t>
            </w:r>
          </w:p>
        </w:tc>
        <w:tc>
          <w:tcPr>
            <w:tcW w:w="1155" w:type="dxa"/>
            <w:shd w:val="clear" w:color="auto" w:fill="auto"/>
            <w:vAlign w:val="bottom"/>
          </w:tcPr>
          <w:p w:rsidR="00B331D8" w:rsidRPr="00B331D8" w:rsidRDefault="003A6C77" w:rsidP="00A53120">
            <w:pPr>
              <w:jc w:val="center"/>
              <w:rPr>
                <w:rFonts w:ascii="Calibri" w:hAnsi="Calibri"/>
                <w:b/>
                <w:color w:val="000000"/>
                <w:sz w:val="20"/>
                <w:szCs w:val="20"/>
              </w:rPr>
            </w:pPr>
            <w:r>
              <w:rPr>
                <w:rFonts w:ascii="Calibri" w:hAnsi="Calibri"/>
                <w:b/>
                <w:color w:val="000000"/>
                <w:sz w:val="20"/>
                <w:szCs w:val="20"/>
              </w:rPr>
              <w:t>-</w:t>
            </w:r>
          </w:p>
        </w:tc>
        <w:tc>
          <w:tcPr>
            <w:tcW w:w="1155" w:type="dxa"/>
            <w:shd w:val="clear" w:color="auto" w:fill="auto"/>
            <w:vAlign w:val="bottom"/>
          </w:tcPr>
          <w:p w:rsidR="00B331D8" w:rsidRPr="00B331D8" w:rsidRDefault="003A6C77" w:rsidP="00A53120">
            <w:pPr>
              <w:jc w:val="center"/>
              <w:rPr>
                <w:rFonts w:ascii="Calibri" w:hAnsi="Calibri"/>
                <w:b/>
                <w:color w:val="000000"/>
                <w:sz w:val="20"/>
                <w:szCs w:val="20"/>
              </w:rPr>
            </w:pPr>
            <w:r>
              <w:rPr>
                <w:rFonts w:ascii="Calibri" w:hAnsi="Calibri"/>
                <w:b/>
                <w:color w:val="000000"/>
                <w:sz w:val="20"/>
                <w:szCs w:val="20"/>
              </w:rPr>
              <w:t>-</w:t>
            </w:r>
          </w:p>
        </w:tc>
      </w:tr>
      <w:tr w:rsidR="00B331D8" w:rsidRPr="00B331D8" w:rsidTr="00A53120">
        <w:trPr>
          <w:trHeight w:val="144"/>
        </w:trPr>
        <w:tc>
          <w:tcPr>
            <w:tcW w:w="3150" w:type="dxa"/>
            <w:shd w:val="clear" w:color="auto" w:fill="auto"/>
          </w:tcPr>
          <w:p w:rsidR="00B331D8" w:rsidRPr="00B331D8" w:rsidRDefault="00B331D8" w:rsidP="00A53120">
            <w:pPr>
              <w:rPr>
                <w:rFonts w:asciiTheme="minorHAnsi" w:hAnsiTheme="minorHAnsi"/>
                <w:bCs/>
                <w:i/>
                <w:sz w:val="20"/>
                <w:szCs w:val="20"/>
              </w:rPr>
            </w:pPr>
          </w:p>
        </w:tc>
        <w:tc>
          <w:tcPr>
            <w:tcW w:w="1155" w:type="dxa"/>
            <w:shd w:val="clear" w:color="auto" w:fill="auto"/>
            <w:vAlign w:val="bottom"/>
          </w:tcPr>
          <w:p w:rsidR="00B331D8" w:rsidRPr="00B331D8" w:rsidRDefault="00B331D8" w:rsidP="00A53120">
            <w:pPr>
              <w:jc w:val="center"/>
              <w:rPr>
                <w:rFonts w:ascii="Calibri" w:hAnsi="Calibri"/>
                <w:color w:val="000000"/>
                <w:sz w:val="20"/>
                <w:szCs w:val="20"/>
              </w:rPr>
            </w:pPr>
          </w:p>
        </w:tc>
        <w:tc>
          <w:tcPr>
            <w:tcW w:w="1155" w:type="dxa"/>
            <w:shd w:val="clear" w:color="auto" w:fill="auto"/>
            <w:vAlign w:val="bottom"/>
          </w:tcPr>
          <w:p w:rsidR="00B331D8" w:rsidRPr="00B331D8" w:rsidRDefault="00B331D8" w:rsidP="00A53120">
            <w:pPr>
              <w:jc w:val="center"/>
              <w:rPr>
                <w:rFonts w:ascii="Calibri" w:hAnsi="Calibri"/>
                <w:i/>
                <w:iCs/>
                <w:color w:val="000000"/>
                <w:sz w:val="20"/>
                <w:szCs w:val="20"/>
              </w:rPr>
            </w:pPr>
          </w:p>
        </w:tc>
      </w:tr>
      <w:tr w:rsidR="00B331D8" w:rsidRPr="00B331D8" w:rsidTr="00A53120">
        <w:trPr>
          <w:trHeight w:val="144"/>
        </w:trPr>
        <w:tc>
          <w:tcPr>
            <w:tcW w:w="3150" w:type="dxa"/>
            <w:shd w:val="clear" w:color="auto" w:fill="auto"/>
          </w:tcPr>
          <w:p w:rsidR="00B331D8" w:rsidRPr="00B331D8" w:rsidRDefault="00B331D8" w:rsidP="00A53120">
            <w:pPr>
              <w:rPr>
                <w:rFonts w:asciiTheme="minorHAnsi" w:hAnsiTheme="minorHAnsi"/>
                <w:b/>
                <w:bCs/>
                <w:sz w:val="20"/>
                <w:szCs w:val="20"/>
              </w:rPr>
            </w:pPr>
            <w:r w:rsidRPr="00B331D8">
              <w:rPr>
                <w:rFonts w:asciiTheme="minorHAnsi" w:hAnsiTheme="minorHAnsi"/>
                <w:b/>
                <w:bCs/>
                <w:sz w:val="20"/>
                <w:szCs w:val="20"/>
              </w:rPr>
              <w:t>Volume Charges</w:t>
            </w:r>
            <w:r w:rsidR="003A6C77">
              <w:rPr>
                <w:rFonts w:asciiTheme="minorHAnsi" w:hAnsiTheme="minorHAnsi"/>
                <w:b/>
                <w:bCs/>
                <w:sz w:val="20"/>
                <w:szCs w:val="20"/>
              </w:rPr>
              <w:t xml:space="preserve"> (per 1,000 </w:t>
            </w:r>
            <w:r>
              <w:rPr>
                <w:rFonts w:asciiTheme="minorHAnsi" w:hAnsiTheme="minorHAnsi"/>
                <w:b/>
                <w:bCs/>
                <w:sz w:val="20"/>
                <w:szCs w:val="20"/>
              </w:rPr>
              <w:t>gallons)</w:t>
            </w:r>
          </w:p>
        </w:tc>
        <w:tc>
          <w:tcPr>
            <w:tcW w:w="1155" w:type="dxa"/>
            <w:shd w:val="clear" w:color="auto" w:fill="auto"/>
            <w:vAlign w:val="bottom"/>
          </w:tcPr>
          <w:p w:rsidR="00B331D8" w:rsidRPr="00B331D8" w:rsidRDefault="003A6C77" w:rsidP="00A53120">
            <w:pPr>
              <w:jc w:val="center"/>
              <w:rPr>
                <w:rFonts w:ascii="Calibri" w:hAnsi="Calibri"/>
                <w:color w:val="000000"/>
                <w:sz w:val="20"/>
                <w:szCs w:val="20"/>
              </w:rPr>
            </w:pPr>
            <w:r>
              <w:rPr>
                <w:rFonts w:ascii="Calibri" w:hAnsi="Calibri"/>
                <w:color w:val="000000"/>
                <w:sz w:val="20"/>
                <w:szCs w:val="20"/>
              </w:rPr>
              <w:t>$0.84</w:t>
            </w:r>
          </w:p>
        </w:tc>
        <w:tc>
          <w:tcPr>
            <w:tcW w:w="1155" w:type="dxa"/>
            <w:shd w:val="clear" w:color="auto" w:fill="auto"/>
            <w:vAlign w:val="bottom"/>
          </w:tcPr>
          <w:p w:rsidR="00B331D8" w:rsidRPr="003A6C77" w:rsidRDefault="003A6C77" w:rsidP="00A53120">
            <w:pPr>
              <w:jc w:val="center"/>
              <w:rPr>
                <w:rFonts w:ascii="Calibri" w:hAnsi="Calibri"/>
                <w:iCs/>
                <w:color w:val="000000"/>
                <w:sz w:val="20"/>
                <w:szCs w:val="20"/>
              </w:rPr>
            </w:pPr>
            <w:r>
              <w:rPr>
                <w:rFonts w:ascii="Calibri" w:hAnsi="Calibri"/>
                <w:iCs/>
                <w:color w:val="000000"/>
                <w:sz w:val="20"/>
                <w:szCs w:val="20"/>
              </w:rPr>
              <w:t>$0.90</w:t>
            </w:r>
          </w:p>
        </w:tc>
      </w:tr>
    </w:tbl>
    <w:p w:rsidR="00B331D8" w:rsidRDefault="00B331D8" w:rsidP="00B331D8">
      <w:pPr>
        <w:pStyle w:val="ListParagraph"/>
        <w:ind w:left="1440"/>
        <w:jc w:val="both"/>
        <w:rPr>
          <w:rFonts w:asciiTheme="minorHAnsi" w:hAnsiTheme="minorHAnsi"/>
          <w:sz w:val="22"/>
          <w:szCs w:val="22"/>
        </w:rPr>
      </w:pPr>
    </w:p>
    <w:p w:rsidR="00C029DD" w:rsidRDefault="00C029DD" w:rsidP="00B331D8">
      <w:pPr>
        <w:pStyle w:val="ListParagraph"/>
        <w:ind w:left="1440"/>
        <w:jc w:val="both"/>
        <w:rPr>
          <w:rFonts w:asciiTheme="minorHAnsi" w:hAnsiTheme="minorHAnsi"/>
          <w:sz w:val="22"/>
          <w:szCs w:val="22"/>
        </w:rPr>
      </w:pPr>
      <w:r>
        <w:rPr>
          <w:rFonts w:asciiTheme="minorHAnsi" w:hAnsiTheme="minorHAnsi"/>
          <w:sz w:val="22"/>
          <w:szCs w:val="22"/>
        </w:rPr>
        <w:t>MFSG is not proposing a change is the Village’s sewer rate structure.</w:t>
      </w:r>
    </w:p>
    <w:p w:rsidR="00C029DD" w:rsidRDefault="00C029DD" w:rsidP="00B331D8">
      <w:pPr>
        <w:pStyle w:val="ListParagraph"/>
        <w:ind w:left="1440"/>
        <w:jc w:val="both"/>
        <w:rPr>
          <w:rFonts w:asciiTheme="minorHAnsi" w:hAnsiTheme="minorHAnsi"/>
          <w:sz w:val="22"/>
          <w:szCs w:val="22"/>
        </w:rPr>
      </w:pPr>
    </w:p>
    <w:p w:rsidR="003A6C77" w:rsidRDefault="003A6C77" w:rsidP="00A53120">
      <w:pPr>
        <w:pStyle w:val="ListParagraph"/>
        <w:numPr>
          <w:ilvl w:val="0"/>
          <w:numId w:val="13"/>
        </w:numPr>
        <w:jc w:val="both"/>
        <w:rPr>
          <w:rFonts w:asciiTheme="minorHAnsi" w:hAnsiTheme="minorHAnsi"/>
          <w:sz w:val="22"/>
          <w:szCs w:val="22"/>
        </w:rPr>
      </w:pPr>
      <w:r>
        <w:rPr>
          <w:rFonts w:asciiTheme="minorHAnsi" w:hAnsiTheme="minorHAnsi"/>
          <w:sz w:val="22"/>
          <w:szCs w:val="22"/>
        </w:rPr>
        <w:t>Recommended stormwater rates:</w:t>
      </w:r>
    </w:p>
    <w:p w:rsidR="003A6C77" w:rsidRDefault="003A6C77" w:rsidP="003A6C77">
      <w:pPr>
        <w:pStyle w:val="ListParagraph"/>
        <w:ind w:left="1440"/>
        <w:jc w:val="both"/>
        <w:rPr>
          <w:rFonts w:asciiTheme="minorHAnsi" w:hAnsiTheme="minorHAnsi"/>
          <w:sz w:val="22"/>
          <w:szCs w:val="22"/>
        </w:rPr>
      </w:pPr>
    </w:p>
    <w:tbl>
      <w:tblPr>
        <w:tblW w:w="5460" w:type="dxa"/>
        <w:tblInd w:w="14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0"/>
        <w:gridCol w:w="1155"/>
        <w:gridCol w:w="1155"/>
      </w:tblGrid>
      <w:tr w:rsidR="003A6C77" w:rsidRPr="00B331D8" w:rsidTr="00A53120">
        <w:trPr>
          <w:trHeight w:val="144"/>
        </w:trPr>
        <w:tc>
          <w:tcPr>
            <w:tcW w:w="3150" w:type="dxa"/>
            <w:shd w:val="clear" w:color="auto" w:fill="0000A2"/>
            <w:vAlign w:val="center"/>
          </w:tcPr>
          <w:p w:rsidR="003A6C77" w:rsidRPr="00B331D8" w:rsidRDefault="003A6C77" w:rsidP="00A53120">
            <w:pPr>
              <w:jc w:val="center"/>
              <w:rPr>
                <w:rFonts w:asciiTheme="minorHAnsi" w:hAnsiTheme="minorHAnsi"/>
                <w:b/>
                <w:bCs/>
                <w:color w:val="FFFFFF" w:themeColor="background1"/>
                <w:sz w:val="20"/>
                <w:szCs w:val="20"/>
              </w:rPr>
            </w:pPr>
          </w:p>
        </w:tc>
        <w:tc>
          <w:tcPr>
            <w:tcW w:w="1155" w:type="dxa"/>
            <w:shd w:val="clear" w:color="auto" w:fill="0000A2"/>
            <w:vAlign w:val="center"/>
          </w:tcPr>
          <w:p w:rsidR="003A6C77" w:rsidRPr="00B331D8" w:rsidRDefault="003A6C77" w:rsidP="00A53120">
            <w:pPr>
              <w:jc w:val="center"/>
              <w:rPr>
                <w:rFonts w:ascii="Calibri" w:hAnsi="Calibri"/>
                <w:b/>
                <w:bCs/>
                <w:color w:val="FFFFFF"/>
                <w:sz w:val="20"/>
                <w:szCs w:val="20"/>
              </w:rPr>
            </w:pPr>
            <w:r w:rsidRPr="00B331D8">
              <w:rPr>
                <w:rFonts w:ascii="Calibri" w:hAnsi="Calibri"/>
                <w:b/>
                <w:bCs/>
                <w:color w:val="FFFFFF"/>
                <w:sz w:val="20"/>
                <w:szCs w:val="20"/>
              </w:rPr>
              <w:t>Previous</w:t>
            </w:r>
          </w:p>
          <w:p w:rsidR="003A6C77" w:rsidRPr="00B331D8" w:rsidRDefault="003A6C77" w:rsidP="00A53120">
            <w:pPr>
              <w:jc w:val="center"/>
              <w:rPr>
                <w:rFonts w:ascii="Calibri" w:hAnsi="Calibri"/>
                <w:b/>
                <w:bCs/>
                <w:color w:val="FFFFFF"/>
                <w:sz w:val="20"/>
                <w:szCs w:val="20"/>
              </w:rPr>
            </w:pPr>
            <w:r w:rsidRPr="00B331D8">
              <w:rPr>
                <w:rFonts w:ascii="Calibri" w:hAnsi="Calibri"/>
                <w:b/>
                <w:bCs/>
                <w:color w:val="FFFFFF"/>
                <w:sz w:val="20"/>
                <w:szCs w:val="20"/>
              </w:rPr>
              <w:t>FY 2015</w:t>
            </w:r>
          </w:p>
        </w:tc>
        <w:tc>
          <w:tcPr>
            <w:tcW w:w="1155" w:type="dxa"/>
            <w:shd w:val="clear" w:color="auto" w:fill="0000A2"/>
            <w:vAlign w:val="center"/>
          </w:tcPr>
          <w:p w:rsidR="003A6C77" w:rsidRPr="00B331D8" w:rsidRDefault="003A6C77" w:rsidP="00A53120">
            <w:pPr>
              <w:jc w:val="center"/>
              <w:rPr>
                <w:rFonts w:ascii="Calibri" w:hAnsi="Calibri"/>
                <w:b/>
                <w:bCs/>
                <w:color w:val="FFFFFF"/>
                <w:sz w:val="20"/>
                <w:szCs w:val="20"/>
              </w:rPr>
            </w:pPr>
            <w:r w:rsidRPr="00B331D8">
              <w:rPr>
                <w:rFonts w:ascii="Calibri" w:hAnsi="Calibri"/>
                <w:b/>
                <w:bCs/>
                <w:color w:val="FFFFFF"/>
                <w:sz w:val="20"/>
                <w:szCs w:val="20"/>
              </w:rPr>
              <w:t>Proposed FY 2016</w:t>
            </w:r>
          </w:p>
        </w:tc>
      </w:tr>
      <w:tr w:rsidR="003A6C77" w:rsidRPr="00B331D8" w:rsidTr="00A53120">
        <w:trPr>
          <w:trHeight w:val="144"/>
        </w:trPr>
        <w:tc>
          <w:tcPr>
            <w:tcW w:w="3150" w:type="dxa"/>
            <w:shd w:val="clear" w:color="auto" w:fill="auto"/>
            <w:vAlign w:val="center"/>
          </w:tcPr>
          <w:p w:rsidR="003A6C77" w:rsidRPr="00B331D8" w:rsidRDefault="003A6C77" w:rsidP="00A53120">
            <w:pPr>
              <w:rPr>
                <w:rFonts w:asciiTheme="minorHAnsi" w:eastAsia="MS PGothic" w:hAnsiTheme="minorHAnsi"/>
                <w:b/>
                <w:bCs/>
                <w:sz w:val="20"/>
                <w:szCs w:val="20"/>
              </w:rPr>
            </w:pPr>
            <w:r w:rsidRPr="00B331D8">
              <w:rPr>
                <w:rFonts w:asciiTheme="minorHAnsi" w:eastAsia="MS PGothic" w:hAnsiTheme="minorHAnsi"/>
                <w:b/>
                <w:bCs/>
                <w:sz w:val="20"/>
                <w:szCs w:val="20"/>
              </w:rPr>
              <w:t>Service Charge per Bill</w:t>
            </w:r>
          </w:p>
        </w:tc>
        <w:tc>
          <w:tcPr>
            <w:tcW w:w="1155" w:type="dxa"/>
            <w:shd w:val="clear" w:color="auto" w:fill="auto"/>
            <w:vAlign w:val="bottom"/>
          </w:tcPr>
          <w:p w:rsidR="003A6C77" w:rsidRPr="00B331D8" w:rsidRDefault="003A6C77" w:rsidP="00A53120">
            <w:pPr>
              <w:jc w:val="center"/>
              <w:rPr>
                <w:rFonts w:ascii="Calibri" w:hAnsi="Calibri"/>
                <w:b/>
                <w:color w:val="000000"/>
                <w:sz w:val="20"/>
                <w:szCs w:val="20"/>
              </w:rPr>
            </w:pPr>
            <w:r>
              <w:rPr>
                <w:rFonts w:ascii="Calibri" w:hAnsi="Calibri"/>
                <w:b/>
                <w:color w:val="000000"/>
                <w:sz w:val="20"/>
                <w:szCs w:val="20"/>
              </w:rPr>
              <w:t>-</w:t>
            </w:r>
          </w:p>
        </w:tc>
        <w:tc>
          <w:tcPr>
            <w:tcW w:w="1155" w:type="dxa"/>
            <w:shd w:val="clear" w:color="auto" w:fill="auto"/>
            <w:vAlign w:val="bottom"/>
          </w:tcPr>
          <w:p w:rsidR="003A6C77" w:rsidRPr="00B331D8" w:rsidRDefault="003A6C77" w:rsidP="00A53120">
            <w:pPr>
              <w:jc w:val="center"/>
              <w:rPr>
                <w:rFonts w:ascii="Calibri" w:hAnsi="Calibri"/>
                <w:b/>
                <w:color w:val="000000"/>
                <w:sz w:val="20"/>
                <w:szCs w:val="20"/>
              </w:rPr>
            </w:pPr>
            <w:r>
              <w:rPr>
                <w:rFonts w:ascii="Calibri" w:hAnsi="Calibri"/>
                <w:b/>
                <w:color w:val="000000"/>
                <w:sz w:val="20"/>
                <w:szCs w:val="20"/>
              </w:rPr>
              <w:t>-</w:t>
            </w:r>
          </w:p>
        </w:tc>
      </w:tr>
      <w:tr w:rsidR="003A6C77" w:rsidRPr="00B331D8" w:rsidTr="00A53120">
        <w:trPr>
          <w:trHeight w:val="144"/>
        </w:trPr>
        <w:tc>
          <w:tcPr>
            <w:tcW w:w="3150" w:type="dxa"/>
            <w:shd w:val="clear" w:color="auto" w:fill="auto"/>
          </w:tcPr>
          <w:p w:rsidR="003A6C77" w:rsidRPr="00B331D8" w:rsidRDefault="003A6C77" w:rsidP="00A53120">
            <w:pPr>
              <w:rPr>
                <w:rFonts w:asciiTheme="minorHAnsi" w:hAnsiTheme="minorHAnsi"/>
                <w:bCs/>
                <w:i/>
                <w:sz w:val="20"/>
                <w:szCs w:val="20"/>
              </w:rPr>
            </w:pPr>
          </w:p>
        </w:tc>
        <w:tc>
          <w:tcPr>
            <w:tcW w:w="1155" w:type="dxa"/>
            <w:shd w:val="clear" w:color="auto" w:fill="auto"/>
            <w:vAlign w:val="bottom"/>
          </w:tcPr>
          <w:p w:rsidR="003A6C77" w:rsidRPr="00B331D8" w:rsidRDefault="003A6C77" w:rsidP="00A53120">
            <w:pPr>
              <w:jc w:val="center"/>
              <w:rPr>
                <w:rFonts w:ascii="Calibri" w:hAnsi="Calibri"/>
                <w:color w:val="000000"/>
                <w:sz w:val="20"/>
                <w:szCs w:val="20"/>
              </w:rPr>
            </w:pPr>
          </w:p>
        </w:tc>
        <w:tc>
          <w:tcPr>
            <w:tcW w:w="1155" w:type="dxa"/>
            <w:shd w:val="clear" w:color="auto" w:fill="auto"/>
            <w:vAlign w:val="bottom"/>
          </w:tcPr>
          <w:p w:rsidR="003A6C77" w:rsidRPr="00B331D8" w:rsidRDefault="003A6C77" w:rsidP="00A53120">
            <w:pPr>
              <w:jc w:val="center"/>
              <w:rPr>
                <w:rFonts w:ascii="Calibri" w:hAnsi="Calibri"/>
                <w:i/>
                <w:iCs/>
                <w:color w:val="000000"/>
                <w:sz w:val="20"/>
                <w:szCs w:val="20"/>
              </w:rPr>
            </w:pPr>
          </w:p>
        </w:tc>
      </w:tr>
      <w:tr w:rsidR="003A6C77" w:rsidRPr="00B331D8" w:rsidTr="00A53120">
        <w:trPr>
          <w:trHeight w:val="144"/>
        </w:trPr>
        <w:tc>
          <w:tcPr>
            <w:tcW w:w="3150" w:type="dxa"/>
            <w:shd w:val="clear" w:color="auto" w:fill="auto"/>
          </w:tcPr>
          <w:p w:rsidR="003A6C77" w:rsidRPr="00B331D8" w:rsidRDefault="003A6C77" w:rsidP="00A53120">
            <w:pPr>
              <w:rPr>
                <w:rFonts w:asciiTheme="minorHAnsi" w:hAnsiTheme="minorHAnsi"/>
                <w:b/>
                <w:bCs/>
                <w:sz w:val="20"/>
                <w:szCs w:val="20"/>
              </w:rPr>
            </w:pPr>
            <w:r w:rsidRPr="00B331D8">
              <w:rPr>
                <w:rFonts w:asciiTheme="minorHAnsi" w:hAnsiTheme="minorHAnsi"/>
                <w:b/>
                <w:bCs/>
                <w:sz w:val="20"/>
                <w:szCs w:val="20"/>
              </w:rPr>
              <w:t>Volume Charges</w:t>
            </w:r>
            <w:r>
              <w:rPr>
                <w:rFonts w:asciiTheme="minorHAnsi" w:hAnsiTheme="minorHAnsi"/>
                <w:b/>
                <w:bCs/>
                <w:sz w:val="20"/>
                <w:szCs w:val="20"/>
              </w:rPr>
              <w:t xml:space="preserve"> (per 1,000 gallons)</w:t>
            </w:r>
          </w:p>
        </w:tc>
        <w:tc>
          <w:tcPr>
            <w:tcW w:w="1155" w:type="dxa"/>
            <w:shd w:val="clear" w:color="auto" w:fill="auto"/>
            <w:vAlign w:val="bottom"/>
          </w:tcPr>
          <w:p w:rsidR="003A6C77" w:rsidRPr="00B331D8" w:rsidRDefault="003A6C77" w:rsidP="00A53120">
            <w:pPr>
              <w:jc w:val="center"/>
              <w:rPr>
                <w:rFonts w:ascii="Calibri" w:hAnsi="Calibri"/>
                <w:color w:val="000000"/>
                <w:sz w:val="20"/>
                <w:szCs w:val="20"/>
              </w:rPr>
            </w:pPr>
            <w:r>
              <w:rPr>
                <w:rFonts w:ascii="Calibri" w:hAnsi="Calibri"/>
                <w:color w:val="000000"/>
                <w:sz w:val="20"/>
                <w:szCs w:val="20"/>
              </w:rPr>
              <w:t>$0.88</w:t>
            </w:r>
          </w:p>
        </w:tc>
        <w:tc>
          <w:tcPr>
            <w:tcW w:w="1155" w:type="dxa"/>
            <w:shd w:val="clear" w:color="auto" w:fill="auto"/>
            <w:vAlign w:val="bottom"/>
          </w:tcPr>
          <w:p w:rsidR="003A6C77" w:rsidRPr="003A6C77" w:rsidRDefault="003A6C77" w:rsidP="00A53120">
            <w:pPr>
              <w:jc w:val="center"/>
              <w:rPr>
                <w:rFonts w:ascii="Calibri" w:hAnsi="Calibri"/>
                <w:iCs/>
                <w:color w:val="000000"/>
                <w:sz w:val="20"/>
                <w:szCs w:val="20"/>
              </w:rPr>
            </w:pPr>
            <w:r>
              <w:rPr>
                <w:rFonts w:ascii="Calibri" w:hAnsi="Calibri"/>
                <w:iCs/>
                <w:color w:val="000000"/>
                <w:sz w:val="20"/>
                <w:szCs w:val="20"/>
              </w:rPr>
              <w:t>$1.76</w:t>
            </w:r>
          </w:p>
        </w:tc>
      </w:tr>
    </w:tbl>
    <w:p w:rsidR="003A6C77" w:rsidRDefault="003A6C77" w:rsidP="00B331D8">
      <w:pPr>
        <w:pStyle w:val="ListParagraph"/>
        <w:ind w:left="1440"/>
        <w:jc w:val="both"/>
        <w:rPr>
          <w:rFonts w:asciiTheme="minorHAnsi" w:hAnsiTheme="minorHAnsi"/>
          <w:sz w:val="22"/>
          <w:szCs w:val="22"/>
        </w:rPr>
      </w:pPr>
    </w:p>
    <w:p w:rsidR="00C029DD" w:rsidRDefault="00C029DD" w:rsidP="00B331D8">
      <w:pPr>
        <w:pStyle w:val="ListParagraph"/>
        <w:ind w:left="1440"/>
        <w:jc w:val="both"/>
        <w:rPr>
          <w:rFonts w:asciiTheme="minorHAnsi" w:hAnsiTheme="minorHAnsi"/>
          <w:sz w:val="22"/>
          <w:szCs w:val="22"/>
        </w:rPr>
      </w:pPr>
      <w:r>
        <w:rPr>
          <w:rFonts w:asciiTheme="minorHAnsi" w:hAnsiTheme="minorHAnsi"/>
          <w:sz w:val="22"/>
          <w:szCs w:val="22"/>
        </w:rPr>
        <w:t>MFSG investigated an alternative method of charging the Village’s customers for stormwater mitigation costs. The alternative method was based on each parcel’s impervious area without consideration of the parcel’s water usage. The result of using an impervious area charge is a shift in costs from smaller parcels (typically residential parcels) to larger parcels (typically commercial or not-for-profit parcels). MFSG and Village staff determined that the current methodology of billing stormwater c</w:t>
      </w:r>
      <w:r w:rsidR="00986814">
        <w:rPr>
          <w:rFonts w:asciiTheme="minorHAnsi" w:hAnsiTheme="minorHAnsi"/>
          <w:sz w:val="22"/>
          <w:szCs w:val="22"/>
        </w:rPr>
        <w:t>harges based on water usage was most desirable for the Village.</w:t>
      </w:r>
    </w:p>
    <w:p w:rsidR="00A53120" w:rsidRDefault="00A53120" w:rsidP="00A53120">
      <w:pPr>
        <w:jc w:val="both"/>
        <w:rPr>
          <w:rFonts w:asciiTheme="minorHAnsi" w:hAnsiTheme="minorHAnsi"/>
          <w:sz w:val="22"/>
          <w:szCs w:val="22"/>
        </w:rPr>
      </w:pPr>
    </w:p>
    <w:p w:rsidR="00A53120" w:rsidRDefault="00A53120">
      <w:pPr>
        <w:spacing w:after="200" w:line="276" w:lineRule="auto"/>
        <w:rPr>
          <w:rFonts w:asciiTheme="minorHAnsi" w:hAnsiTheme="minorHAnsi"/>
          <w:sz w:val="22"/>
          <w:szCs w:val="22"/>
        </w:rPr>
      </w:pPr>
      <w:r>
        <w:rPr>
          <w:rFonts w:asciiTheme="minorHAnsi" w:hAnsiTheme="minorHAnsi"/>
          <w:sz w:val="22"/>
          <w:szCs w:val="22"/>
        </w:rPr>
        <w:br w:type="page"/>
      </w:r>
    </w:p>
    <w:p w:rsidR="00A53120" w:rsidRDefault="00A53120" w:rsidP="00A53120">
      <w:pPr>
        <w:pStyle w:val="ListParagraph"/>
        <w:numPr>
          <w:ilvl w:val="0"/>
          <w:numId w:val="13"/>
        </w:numPr>
        <w:jc w:val="both"/>
        <w:rPr>
          <w:rFonts w:asciiTheme="minorHAnsi" w:hAnsiTheme="minorHAnsi"/>
          <w:sz w:val="22"/>
          <w:szCs w:val="22"/>
        </w:rPr>
      </w:pPr>
      <w:r>
        <w:rPr>
          <w:rFonts w:asciiTheme="minorHAnsi" w:hAnsiTheme="minorHAnsi"/>
          <w:sz w:val="22"/>
          <w:szCs w:val="22"/>
        </w:rPr>
        <w:lastRenderedPageBreak/>
        <w:t>Customer Impact of Recommended Rates</w:t>
      </w:r>
    </w:p>
    <w:p w:rsidR="00A72043" w:rsidRDefault="00A72043" w:rsidP="00A72043">
      <w:pPr>
        <w:pStyle w:val="ListParagraph"/>
        <w:jc w:val="both"/>
        <w:rPr>
          <w:rFonts w:asciiTheme="minorHAnsi" w:hAnsiTheme="minorHAnsi"/>
          <w:sz w:val="22"/>
          <w:szCs w:val="22"/>
        </w:rPr>
      </w:pPr>
    </w:p>
    <w:tbl>
      <w:tblPr>
        <w:tblW w:w="10190" w:type="dxa"/>
        <w:tblInd w:w="-365" w:type="dxa"/>
        <w:tblLook w:val="04A0" w:firstRow="1" w:lastRow="0" w:firstColumn="1" w:lastColumn="0" w:noHBand="0" w:noVBand="1"/>
      </w:tblPr>
      <w:tblGrid>
        <w:gridCol w:w="1710"/>
        <w:gridCol w:w="1160"/>
        <w:gridCol w:w="1160"/>
        <w:gridCol w:w="1160"/>
        <w:gridCol w:w="1520"/>
        <w:gridCol w:w="1160"/>
        <w:gridCol w:w="1160"/>
        <w:gridCol w:w="1160"/>
      </w:tblGrid>
      <w:tr w:rsidR="00A72043" w:rsidRPr="00A72043" w:rsidTr="00A72043">
        <w:trPr>
          <w:trHeight w:val="315"/>
        </w:trPr>
        <w:tc>
          <w:tcPr>
            <w:tcW w:w="1710" w:type="dxa"/>
            <w:tcBorders>
              <w:top w:val="single" w:sz="4" w:space="0" w:color="auto"/>
              <w:left w:val="single" w:sz="4" w:space="0" w:color="auto"/>
              <w:bottom w:val="nil"/>
              <w:right w:val="nil"/>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p>
        </w:tc>
        <w:tc>
          <w:tcPr>
            <w:tcW w:w="1160" w:type="dxa"/>
            <w:tcBorders>
              <w:top w:val="single" w:sz="4" w:space="0" w:color="auto"/>
              <w:left w:val="nil"/>
              <w:bottom w:val="nil"/>
              <w:right w:val="nil"/>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Current</w:t>
            </w:r>
          </w:p>
        </w:tc>
        <w:tc>
          <w:tcPr>
            <w:tcW w:w="1160" w:type="dxa"/>
            <w:tcBorders>
              <w:top w:val="single" w:sz="4" w:space="0" w:color="auto"/>
              <w:left w:val="nil"/>
              <w:bottom w:val="nil"/>
              <w:right w:val="nil"/>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Proposed</w:t>
            </w:r>
          </w:p>
        </w:tc>
        <w:tc>
          <w:tcPr>
            <w:tcW w:w="1160" w:type="dxa"/>
            <w:tcBorders>
              <w:top w:val="single" w:sz="4" w:space="0" w:color="auto"/>
              <w:left w:val="nil"/>
              <w:bottom w:val="nil"/>
              <w:right w:val="single" w:sz="4" w:space="0" w:color="auto"/>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w:t>
            </w:r>
          </w:p>
        </w:tc>
        <w:tc>
          <w:tcPr>
            <w:tcW w:w="1520" w:type="dxa"/>
            <w:tcBorders>
              <w:top w:val="single" w:sz="4" w:space="0" w:color="auto"/>
              <w:left w:val="nil"/>
              <w:bottom w:val="nil"/>
              <w:right w:val="nil"/>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p>
        </w:tc>
        <w:tc>
          <w:tcPr>
            <w:tcW w:w="1160" w:type="dxa"/>
            <w:tcBorders>
              <w:top w:val="single" w:sz="4" w:space="0" w:color="auto"/>
              <w:left w:val="nil"/>
              <w:bottom w:val="nil"/>
              <w:right w:val="nil"/>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Current</w:t>
            </w:r>
          </w:p>
        </w:tc>
        <w:tc>
          <w:tcPr>
            <w:tcW w:w="1160" w:type="dxa"/>
            <w:tcBorders>
              <w:top w:val="single" w:sz="4" w:space="0" w:color="auto"/>
              <w:left w:val="nil"/>
              <w:bottom w:val="nil"/>
              <w:right w:val="nil"/>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Proposed</w:t>
            </w:r>
          </w:p>
        </w:tc>
        <w:tc>
          <w:tcPr>
            <w:tcW w:w="1160" w:type="dxa"/>
            <w:tcBorders>
              <w:top w:val="single" w:sz="4" w:space="0" w:color="auto"/>
              <w:left w:val="nil"/>
              <w:bottom w:val="nil"/>
              <w:right w:val="single" w:sz="4" w:space="0" w:color="auto"/>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w:t>
            </w:r>
          </w:p>
        </w:tc>
      </w:tr>
      <w:tr w:rsidR="00A72043" w:rsidRPr="00A72043" w:rsidTr="00A72043">
        <w:trPr>
          <w:trHeight w:val="315"/>
        </w:trPr>
        <w:tc>
          <w:tcPr>
            <w:tcW w:w="1710" w:type="dxa"/>
            <w:tcBorders>
              <w:top w:val="nil"/>
              <w:left w:val="single" w:sz="4" w:space="0" w:color="auto"/>
              <w:bottom w:val="nil"/>
              <w:right w:val="nil"/>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Bi-Monthly Bill</w:t>
            </w:r>
          </w:p>
        </w:tc>
        <w:tc>
          <w:tcPr>
            <w:tcW w:w="1160" w:type="dxa"/>
            <w:tcBorders>
              <w:top w:val="nil"/>
              <w:left w:val="nil"/>
              <w:bottom w:val="nil"/>
              <w:right w:val="nil"/>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FY 2015</w:t>
            </w:r>
          </w:p>
        </w:tc>
        <w:tc>
          <w:tcPr>
            <w:tcW w:w="1160" w:type="dxa"/>
            <w:tcBorders>
              <w:top w:val="nil"/>
              <w:left w:val="nil"/>
              <w:bottom w:val="nil"/>
              <w:right w:val="nil"/>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FY 2016</w:t>
            </w:r>
          </w:p>
        </w:tc>
        <w:tc>
          <w:tcPr>
            <w:tcW w:w="1160" w:type="dxa"/>
            <w:tcBorders>
              <w:top w:val="nil"/>
              <w:left w:val="nil"/>
              <w:bottom w:val="nil"/>
              <w:right w:val="single" w:sz="4" w:space="0" w:color="auto"/>
            </w:tcBorders>
            <w:shd w:val="clear" w:color="000000" w:fill="00008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Increase</w:t>
            </w:r>
          </w:p>
        </w:tc>
        <w:tc>
          <w:tcPr>
            <w:tcW w:w="1520" w:type="dxa"/>
            <w:tcBorders>
              <w:top w:val="nil"/>
              <w:left w:val="nil"/>
              <w:bottom w:val="nil"/>
              <w:right w:val="nil"/>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Bi-Monthly Bill</w:t>
            </w:r>
          </w:p>
        </w:tc>
        <w:tc>
          <w:tcPr>
            <w:tcW w:w="1160" w:type="dxa"/>
            <w:tcBorders>
              <w:top w:val="nil"/>
              <w:left w:val="nil"/>
              <w:bottom w:val="nil"/>
              <w:right w:val="nil"/>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FY 2015</w:t>
            </w:r>
          </w:p>
        </w:tc>
        <w:tc>
          <w:tcPr>
            <w:tcW w:w="1160" w:type="dxa"/>
            <w:tcBorders>
              <w:top w:val="nil"/>
              <w:left w:val="nil"/>
              <w:bottom w:val="nil"/>
              <w:right w:val="nil"/>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FY 2016</w:t>
            </w:r>
          </w:p>
        </w:tc>
        <w:tc>
          <w:tcPr>
            <w:tcW w:w="1160" w:type="dxa"/>
            <w:tcBorders>
              <w:top w:val="nil"/>
              <w:left w:val="nil"/>
              <w:bottom w:val="nil"/>
              <w:right w:val="single" w:sz="4" w:space="0" w:color="auto"/>
            </w:tcBorders>
            <w:shd w:val="clear" w:color="000000" w:fill="C00000"/>
            <w:noWrap/>
            <w:vAlign w:val="center"/>
            <w:hideMark/>
          </w:tcPr>
          <w:p w:rsidR="00A72043" w:rsidRPr="00A72043" w:rsidRDefault="00A72043" w:rsidP="00A72043">
            <w:pPr>
              <w:jc w:val="center"/>
              <w:rPr>
                <w:rFonts w:ascii="Calibri" w:hAnsi="Calibri"/>
                <w:b/>
                <w:bCs/>
                <w:color w:val="FFFFFF"/>
                <w:sz w:val="20"/>
                <w:szCs w:val="22"/>
              </w:rPr>
            </w:pPr>
            <w:r w:rsidRPr="00A72043">
              <w:rPr>
                <w:rFonts w:ascii="Calibri" w:hAnsi="Calibri"/>
                <w:b/>
                <w:bCs/>
                <w:color w:val="FFFFFF"/>
                <w:sz w:val="20"/>
                <w:szCs w:val="22"/>
              </w:rPr>
              <w:t>Increase</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$16.57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$17.28</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4.3%</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$323.12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$376.13</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16.4%</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$24.14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$25.56</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5.9%</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35</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$333.46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$388.63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16.5%</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$31.71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$33.83</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6.7%</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$343.80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$401.12</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16.7%</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$39.28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$42.11</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7.2%</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37</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$354.14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$413.61</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16.8%</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$46.85</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$50.39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7.6%</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$364.48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$426.10</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16.9%</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$54.42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$58.67</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7.8%</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39</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$374.82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$438.59</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17.0%</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$61.99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$66.94</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8.0%</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$385.16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$451.09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17.1%</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$69.56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$76.63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10.2%</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41</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$395.50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$463.58</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17.2%</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$77.13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$86.31</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11.9%</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$405.84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$476.07</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17.3%</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$86.08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$95.99</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11.5%</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43</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$416.18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$488.56</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17.4%</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$95.03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$105.67</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11.2%</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$426.52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$501.05</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17.5%</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$103.98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$115.36</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10.9%</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45</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$436.86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$513.55</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17.6%</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$112.93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$126.44</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12.0%</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$447.20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$526.04</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17.6%</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$121.88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$137.53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12.8%</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47</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$457.54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$538.53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17.7%</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$130.83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$148.62</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13.6%</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$467.88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$551.02</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17.8%</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$139.78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$159.71</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14.3%</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49</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$478.22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$563.51</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17.8%</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$148.73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$170.79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14.8%</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$488.56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$576.01</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17.9%</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$157.68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$181.88</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15.3%</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51</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$498.90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$588.50</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18.0%</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$168.02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$192.97</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14.8%</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$509.24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$600.99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18.0%</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$178.36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$204.06</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14.4%</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53</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$519.58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$613.48</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18.1%</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$188.70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$215.14</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14.0%</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$529.92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$625.97</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18.1%</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$199.04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$226.23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13.7%</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55</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$540.26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$638.47</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18.2%</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$209.38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$238.72</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14.0%</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$550.60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$650.96</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18.2%</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$219.72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$251.21</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14.3%</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57</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$560.94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$663.45</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18.3%</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25</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$230.06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$263.71</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14.6%</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$571.28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$675.94</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18.3%</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$240.40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$276.20</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14.9%</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59</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$581.62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$688.43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18.4%</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$250.74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$288.69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15.1%</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$591.96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$700.93</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18.4%</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$261.08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$301.18</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15.4%</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61</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$602.30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$713.42</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18.4%</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$271.42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$313.67</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15.6%</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$612.64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$725.91</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18.5%</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$281.76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$326.17</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15.8%</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63</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$622.98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$738.40</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18.5%</w:t>
            </w:r>
          </w:p>
        </w:tc>
      </w:tr>
      <w:tr w:rsidR="00A72043" w:rsidRPr="00A72043" w:rsidTr="00A72043">
        <w:trPr>
          <w:trHeight w:val="315"/>
        </w:trPr>
        <w:tc>
          <w:tcPr>
            <w:tcW w:w="171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$292.10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$338.66</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15.9%</w:t>
            </w:r>
          </w:p>
        </w:tc>
        <w:tc>
          <w:tcPr>
            <w:tcW w:w="152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$633.32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$750.89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18.6%</w:t>
            </w:r>
          </w:p>
        </w:tc>
      </w:tr>
      <w:tr w:rsidR="00A72043" w:rsidRPr="00A72043" w:rsidTr="00A72043">
        <w:trPr>
          <w:trHeight w:val="315"/>
        </w:trPr>
        <w:tc>
          <w:tcPr>
            <w:tcW w:w="171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$302.44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$351.15</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16.1%</w:t>
            </w:r>
          </w:p>
        </w:tc>
        <w:tc>
          <w:tcPr>
            <w:tcW w:w="152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65</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$643.66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$763.39</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18.6%</w:t>
            </w:r>
          </w:p>
        </w:tc>
      </w:tr>
      <w:tr w:rsidR="00A72043" w:rsidRPr="00A72043" w:rsidTr="00A72043">
        <w:trPr>
          <w:trHeight w:val="315"/>
        </w:trPr>
        <w:tc>
          <w:tcPr>
            <w:tcW w:w="1710" w:type="dxa"/>
            <w:tcBorders>
              <w:top w:val="nil"/>
              <w:left w:val="single" w:sz="4" w:space="0" w:color="auto"/>
              <w:bottom w:val="single" w:sz="4" w:space="0" w:color="auto"/>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33</w:t>
            </w:r>
          </w:p>
        </w:tc>
        <w:tc>
          <w:tcPr>
            <w:tcW w:w="1160" w:type="dxa"/>
            <w:tcBorders>
              <w:top w:val="nil"/>
              <w:left w:val="nil"/>
              <w:bottom w:val="single" w:sz="4" w:space="0" w:color="auto"/>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$312.78</w:t>
            </w:r>
          </w:p>
        </w:tc>
        <w:tc>
          <w:tcPr>
            <w:tcW w:w="1160" w:type="dxa"/>
            <w:tcBorders>
              <w:top w:val="nil"/>
              <w:left w:val="nil"/>
              <w:bottom w:val="single" w:sz="4" w:space="0" w:color="auto"/>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$363.64</w:t>
            </w:r>
          </w:p>
        </w:tc>
        <w:tc>
          <w:tcPr>
            <w:tcW w:w="1160" w:type="dxa"/>
            <w:tcBorders>
              <w:top w:val="nil"/>
              <w:left w:val="nil"/>
              <w:bottom w:val="single" w:sz="4" w:space="0" w:color="auto"/>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16.3%</w:t>
            </w:r>
          </w:p>
        </w:tc>
        <w:tc>
          <w:tcPr>
            <w:tcW w:w="1520" w:type="dxa"/>
            <w:tcBorders>
              <w:top w:val="nil"/>
              <w:left w:val="nil"/>
              <w:bottom w:val="single" w:sz="4" w:space="0" w:color="auto"/>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66</w:t>
            </w:r>
          </w:p>
        </w:tc>
        <w:tc>
          <w:tcPr>
            <w:tcW w:w="1160" w:type="dxa"/>
            <w:tcBorders>
              <w:top w:val="nil"/>
              <w:left w:val="nil"/>
              <w:bottom w:val="single" w:sz="4" w:space="0" w:color="auto"/>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$654.00</w:t>
            </w:r>
          </w:p>
        </w:tc>
        <w:tc>
          <w:tcPr>
            <w:tcW w:w="1160" w:type="dxa"/>
            <w:tcBorders>
              <w:top w:val="nil"/>
              <w:left w:val="nil"/>
              <w:bottom w:val="single" w:sz="4" w:space="0" w:color="auto"/>
              <w:right w:val="nil"/>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$775.88</w:t>
            </w:r>
          </w:p>
        </w:tc>
        <w:tc>
          <w:tcPr>
            <w:tcW w:w="1160" w:type="dxa"/>
            <w:tcBorders>
              <w:top w:val="nil"/>
              <w:left w:val="nil"/>
              <w:bottom w:val="single" w:sz="4" w:space="0" w:color="auto"/>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rPr>
            </w:pPr>
            <w:r w:rsidRPr="00A72043">
              <w:rPr>
                <w:rFonts w:ascii="Calibri" w:hAnsi="Calibri"/>
                <w:color w:val="000000"/>
                <w:sz w:val="20"/>
              </w:rPr>
              <w:t>18.6%</w:t>
            </w:r>
          </w:p>
        </w:tc>
      </w:tr>
    </w:tbl>
    <w:p w:rsidR="00A72043" w:rsidRDefault="00A72043" w:rsidP="00A53120">
      <w:pPr>
        <w:ind w:left="360"/>
        <w:jc w:val="both"/>
        <w:rPr>
          <w:rFonts w:asciiTheme="minorHAnsi" w:hAnsiTheme="minorHAnsi"/>
          <w:sz w:val="22"/>
          <w:szCs w:val="22"/>
        </w:rPr>
      </w:pPr>
    </w:p>
    <w:p w:rsidR="00A72043" w:rsidRDefault="00A72043">
      <w:pPr>
        <w:spacing w:after="200" w:line="276" w:lineRule="auto"/>
        <w:rPr>
          <w:rFonts w:asciiTheme="minorHAnsi" w:hAnsiTheme="minorHAnsi"/>
          <w:sz w:val="22"/>
          <w:szCs w:val="22"/>
        </w:rPr>
      </w:pPr>
      <w:r>
        <w:rPr>
          <w:rFonts w:asciiTheme="minorHAnsi" w:hAnsiTheme="minorHAnsi"/>
          <w:sz w:val="22"/>
          <w:szCs w:val="22"/>
        </w:rPr>
        <w:br w:type="page"/>
      </w:r>
    </w:p>
    <w:tbl>
      <w:tblPr>
        <w:tblW w:w="5000" w:type="dxa"/>
        <w:tblInd w:w="-5" w:type="dxa"/>
        <w:tblLook w:val="04A0" w:firstRow="1" w:lastRow="0" w:firstColumn="1" w:lastColumn="0" w:noHBand="0" w:noVBand="1"/>
      </w:tblPr>
      <w:tblGrid>
        <w:gridCol w:w="1520"/>
        <w:gridCol w:w="1160"/>
        <w:gridCol w:w="1160"/>
        <w:gridCol w:w="1160"/>
      </w:tblGrid>
      <w:tr w:rsidR="00A72043" w:rsidRPr="00A72043" w:rsidTr="00A72043">
        <w:trPr>
          <w:trHeight w:val="315"/>
        </w:trPr>
        <w:tc>
          <w:tcPr>
            <w:tcW w:w="1520" w:type="dxa"/>
            <w:tcBorders>
              <w:top w:val="single" w:sz="4" w:space="0" w:color="auto"/>
              <w:left w:val="single" w:sz="4" w:space="0" w:color="auto"/>
              <w:bottom w:val="nil"/>
              <w:right w:val="nil"/>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p>
        </w:tc>
        <w:tc>
          <w:tcPr>
            <w:tcW w:w="1160" w:type="dxa"/>
            <w:tcBorders>
              <w:top w:val="single" w:sz="4" w:space="0" w:color="auto"/>
              <w:left w:val="nil"/>
              <w:bottom w:val="nil"/>
              <w:right w:val="nil"/>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r w:rsidRPr="00A72043">
              <w:rPr>
                <w:rFonts w:ascii="Calibri" w:hAnsi="Calibri"/>
                <w:b/>
                <w:bCs/>
                <w:color w:val="FFFFFF"/>
                <w:sz w:val="20"/>
                <w:szCs w:val="20"/>
              </w:rPr>
              <w:t>Current</w:t>
            </w:r>
          </w:p>
        </w:tc>
        <w:tc>
          <w:tcPr>
            <w:tcW w:w="1160" w:type="dxa"/>
            <w:tcBorders>
              <w:top w:val="single" w:sz="4" w:space="0" w:color="auto"/>
              <w:left w:val="nil"/>
              <w:bottom w:val="nil"/>
              <w:right w:val="nil"/>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r w:rsidRPr="00A72043">
              <w:rPr>
                <w:rFonts w:ascii="Calibri" w:hAnsi="Calibri"/>
                <w:b/>
                <w:bCs/>
                <w:color w:val="FFFFFF"/>
                <w:sz w:val="20"/>
                <w:szCs w:val="20"/>
              </w:rPr>
              <w:t>Proposed</w:t>
            </w:r>
          </w:p>
        </w:tc>
        <w:tc>
          <w:tcPr>
            <w:tcW w:w="1160" w:type="dxa"/>
            <w:tcBorders>
              <w:top w:val="single" w:sz="4" w:space="0" w:color="auto"/>
              <w:left w:val="nil"/>
              <w:bottom w:val="nil"/>
              <w:right w:val="single" w:sz="4" w:space="0" w:color="auto"/>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r w:rsidRPr="00A72043">
              <w:rPr>
                <w:rFonts w:ascii="Calibri" w:hAnsi="Calibri"/>
                <w:b/>
                <w:bCs/>
                <w:color w:val="FFFFFF"/>
                <w:sz w:val="20"/>
                <w:szCs w:val="20"/>
              </w:rPr>
              <w:t>%</w:t>
            </w:r>
          </w:p>
        </w:tc>
      </w:tr>
      <w:tr w:rsidR="00A72043" w:rsidRPr="00A72043" w:rsidTr="00A72043">
        <w:trPr>
          <w:trHeight w:val="315"/>
        </w:trPr>
        <w:tc>
          <w:tcPr>
            <w:tcW w:w="1520" w:type="dxa"/>
            <w:tcBorders>
              <w:top w:val="nil"/>
              <w:left w:val="single" w:sz="4" w:space="0" w:color="auto"/>
              <w:bottom w:val="nil"/>
              <w:right w:val="nil"/>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r w:rsidRPr="00A72043">
              <w:rPr>
                <w:rFonts w:ascii="Calibri" w:hAnsi="Calibri"/>
                <w:b/>
                <w:bCs/>
                <w:color w:val="FFFFFF"/>
                <w:sz w:val="20"/>
                <w:szCs w:val="20"/>
              </w:rPr>
              <w:t>Bi-Monthly Bill</w:t>
            </w:r>
          </w:p>
        </w:tc>
        <w:tc>
          <w:tcPr>
            <w:tcW w:w="1160" w:type="dxa"/>
            <w:tcBorders>
              <w:top w:val="nil"/>
              <w:left w:val="nil"/>
              <w:bottom w:val="nil"/>
              <w:right w:val="nil"/>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r w:rsidRPr="00A72043">
              <w:rPr>
                <w:rFonts w:ascii="Calibri" w:hAnsi="Calibri"/>
                <w:b/>
                <w:bCs/>
                <w:color w:val="FFFFFF"/>
                <w:sz w:val="20"/>
                <w:szCs w:val="20"/>
              </w:rPr>
              <w:t>FY 2015</w:t>
            </w:r>
          </w:p>
        </w:tc>
        <w:tc>
          <w:tcPr>
            <w:tcW w:w="1160" w:type="dxa"/>
            <w:tcBorders>
              <w:top w:val="nil"/>
              <w:left w:val="nil"/>
              <w:bottom w:val="nil"/>
              <w:right w:val="nil"/>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r w:rsidRPr="00A72043">
              <w:rPr>
                <w:rFonts w:ascii="Calibri" w:hAnsi="Calibri"/>
                <w:b/>
                <w:bCs/>
                <w:color w:val="FFFFFF"/>
                <w:sz w:val="20"/>
                <w:szCs w:val="20"/>
              </w:rPr>
              <w:t>FY 2016</w:t>
            </w:r>
          </w:p>
        </w:tc>
        <w:tc>
          <w:tcPr>
            <w:tcW w:w="1160" w:type="dxa"/>
            <w:tcBorders>
              <w:top w:val="nil"/>
              <w:left w:val="nil"/>
              <w:bottom w:val="nil"/>
              <w:right w:val="single" w:sz="4" w:space="0" w:color="auto"/>
            </w:tcBorders>
            <w:shd w:val="clear" w:color="000000" w:fill="76933C"/>
            <w:noWrap/>
            <w:vAlign w:val="center"/>
            <w:hideMark/>
          </w:tcPr>
          <w:p w:rsidR="00A72043" w:rsidRPr="00A72043" w:rsidRDefault="00A72043" w:rsidP="00A72043">
            <w:pPr>
              <w:jc w:val="center"/>
              <w:rPr>
                <w:rFonts w:ascii="Calibri" w:hAnsi="Calibri"/>
                <w:b/>
                <w:bCs/>
                <w:color w:val="FFFFFF"/>
                <w:sz w:val="20"/>
                <w:szCs w:val="20"/>
              </w:rPr>
            </w:pPr>
            <w:r w:rsidRPr="00A72043">
              <w:rPr>
                <w:rFonts w:ascii="Calibri" w:hAnsi="Calibri"/>
                <w:b/>
                <w:bCs/>
                <w:color w:val="FFFFFF"/>
                <w:sz w:val="20"/>
                <w:szCs w:val="20"/>
              </w:rPr>
              <w:t>Increase</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67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$664.34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$788.37</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18.7%</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68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$674.68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$800.86</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18.7%</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69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$685.02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$813.35</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18.7%</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$695.36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$825.85</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18.8%</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$705.70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$838.34</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18.8%</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$716.04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$850.83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18.8%</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$726.38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$863.32</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18.9%</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$736.72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$875.81</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18.9%</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75</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$747.06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$888.31</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18.9%</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$757.40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$900.80</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18.9%</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$767.74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$913.29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19.0%</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$778.08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$925.78</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19.0%</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$788.42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$938.27</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19.0%</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$798.76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$950.77</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19.0%</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$809.10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$963.26</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19.1%</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$819.44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$975.75</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19.1%</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$829.78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$988.24</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19.1%</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$840.12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$1,000.73</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19.1%</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85</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$850.46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$1,013.23</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19.1%</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$860.80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$1,025.72</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19.2%</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$871.14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$1,038.21</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19.2%</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$881.48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$1,050.70</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19.2%</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$891.82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$1,063.19</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19.2%</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$902.16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$1,075.69</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19.2%</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91</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$912.50</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$1,088.18</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19.3%</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$922.84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$1,100.67</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19.3%</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93</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$933.18</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$1,113.16</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19.3%</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94</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$943.52</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$1,125.65</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19.3%</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95</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$953.86</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$1,138.15</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19.3%</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96</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$964.20</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$1,150.64</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19.3%</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97</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$974.54</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$1,163.13</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19.4%</w:t>
            </w:r>
          </w:p>
        </w:tc>
      </w:tr>
      <w:tr w:rsidR="00A72043" w:rsidRPr="00A72043" w:rsidTr="00A72043">
        <w:trPr>
          <w:trHeight w:val="315"/>
        </w:trPr>
        <w:tc>
          <w:tcPr>
            <w:tcW w:w="1520" w:type="dxa"/>
            <w:tcBorders>
              <w:top w:val="nil"/>
              <w:left w:val="single" w:sz="4" w:space="0" w:color="auto"/>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$984.88</w:t>
            </w:r>
          </w:p>
        </w:tc>
        <w:tc>
          <w:tcPr>
            <w:tcW w:w="1160" w:type="dxa"/>
            <w:tcBorders>
              <w:top w:val="nil"/>
              <w:left w:val="nil"/>
              <w:bottom w:val="nil"/>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$1,175.62</w:t>
            </w:r>
          </w:p>
        </w:tc>
        <w:tc>
          <w:tcPr>
            <w:tcW w:w="1160" w:type="dxa"/>
            <w:tcBorders>
              <w:top w:val="nil"/>
              <w:left w:val="nil"/>
              <w:bottom w:val="nil"/>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19.4%</w:t>
            </w:r>
          </w:p>
        </w:tc>
      </w:tr>
      <w:tr w:rsidR="00A72043" w:rsidRPr="00A72043" w:rsidTr="00A72043">
        <w:trPr>
          <w:trHeight w:val="315"/>
        </w:trPr>
        <w:tc>
          <w:tcPr>
            <w:tcW w:w="1520" w:type="dxa"/>
            <w:tcBorders>
              <w:top w:val="nil"/>
              <w:left w:val="single" w:sz="4" w:space="0" w:color="auto"/>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99</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$995.22</w:t>
            </w:r>
          </w:p>
        </w:tc>
        <w:tc>
          <w:tcPr>
            <w:tcW w:w="1160" w:type="dxa"/>
            <w:tcBorders>
              <w:top w:val="nil"/>
              <w:left w:val="nil"/>
              <w:bottom w:val="nil"/>
              <w:right w:val="nil"/>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$1,188.11</w:t>
            </w:r>
          </w:p>
        </w:tc>
        <w:tc>
          <w:tcPr>
            <w:tcW w:w="1160" w:type="dxa"/>
            <w:tcBorders>
              <w:top w:val="nil"/>
              <w:left w:val="nil"/>
              <w:bottom w:val="nil"/>
              <w:right w:val="single" w:sz="4" w:space="0" w:color="auto"/>
            </w:tcBorders>
            <w:shd w:val="clear" w:color="auto" w:fill="auto"/>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19.4%</w:t>
            </w:r>
          </w:p>
        </w:tc>
      </w:tr>
      <w:tr w:rsidR="00A72043" w:rsidRPr="00A72043" w:rsidTr="00A72043">
        <w:trPr>
          <w:trHeight w:val="315"/>
        </w:trPr>
        <w:tc>
          <w:tcPr>
            <w:tcW w:w="1520" w:type="dxa"/>
            <w:tcBorders>
              <w:top w:val="nil"/>
              <w:left w:val="single" w:sz="4" w:space="0" w:color="auto"/>
              <w:bottom w:val="single" w:sz="4" w:space="0" w:color="auto"/>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100</w:t>
            </w:r>
          </w:p>
        </w:tc>
        <w:tc>
          <w:tcPr>
            <w:tcW w:w="1160" w:type="dxa"/>
            <w:tcBorders>
              <w:top w:val="nil"/>
              <w:left w:val="nil"/>
              <w:bottom w:val="single" w:sz="4" w:space="0" w:color="auto"/>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$1,005.56</w:t>
            </w:r>
          </w:p>
        </w:tc>
        <w:tc>
          <w:tcPr>
            <w:tcW w:w="1160" w:type="dxa"/>
            <w:tcBorders>
              <w:top w:val="nil"/>
              <w:left w:val="nil"/>
              <w:bottom w:val="single" w:sz="4" w:space="0" w:color="auto"/>
              <w:right w:val="nil"/>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$1,200.61</w:t>
            </w:r>
          </w:p>
        </w:tc>
        <w:tc>
          <w:tcPr>
            <w:tcW w:w="1160" w:type="dxa"/>
            <w:tcBorders>
              <w:top w:val="nil"/>
              <w:left w:val="nil"/>
              <w:bottom w:val="single" w:sz="4" w:space="0" w:color="auto"/>
              <w:right w:val="single" w:sz="4" w:space="0" w:color="auto"/>
            </w:tcBorders>
            <w:shd w:val="clear" w:color="000000" w:fill="D9D9D9"/>
            <w:noWrap/>
            <w:vAlign w:val="center"/>
            <w:hideMark/>
          </w:tcPr>
          <w:p w:rsidR="00A72043" w:rsidRPr="00A72043" w:rsidRDefault="00A72043" w:rsidP="00A72043">
            <w:pPr>
              <w:jc w:val="center"/>
              <w:rPr>
                <w:rFonts w:ascii="Calibri" w:hAnsi="Calibri"/>
                <w:color w:val="000000"/>
                <w:sz w:val="20"/>
                <w:szCs w:val="20"/>
              </w:rPr>
            </w:pPr>
            <w:r w:rsidRPr="00A72043">
              <w:rPr>
                <w:rFonts w:ascii="Calibri" w:hAnsi="Calibri"/>
                <w:color w:val="000000"/>
                <w:sz w:val="20"/>
                <w:szCs w:val="20"/>
              </w:rPr>
              <w:t>19.4%</w:t>
            </w:r>
          </w:p>
        </w:tc>
      </w:tr>
    </w:tbl>
    <w:p w:rsidR="00A53120" w:rsidRPr="00A53120" w:rsidRDefault="00A53120" w:rsidP="00A53120">
      <w:pPr>
        <w:ind w:left="360"/>
        <w:jc w:val="both"/>
        <w:rPr>
          <w:rFonts w:asciiTheme="minorHAnsi" w:hAnsiTheme="minorHAnsi"/>
          <w:sz w:val="22"/>
          <w:szCs w:val="22"/>
        </w:rPr>
      </w:pPr>
    </w:p>
    <w:p w:rsidR="00103848" w:rsidRDefault="00103848" w:rsidP="00103848">
      <w:pPr>
        <w:pStyle w:val="ListParagraph"/>
        <w:numPr>
          <w:ilvl w:val="0"/>
          <w:numId w:val="13"/>
        </w:numPr>
        <w:jc w:val="both"/>
        <w:rPr>
          <w:rFonts w:asciiTheme="minorHAnsi" w:hAnsiTheme="minorHAnsi"/>
          <w:sz w:val="22"/>
          <w:szCs w:val="22"/>
        </w:rPr>
      </w:pPr>
      <w:r>
        <w:rPr>
          <w:rFonts w:asciiTheme="minorHAnsi" w:hAnsiTheme="minorHAnsi"/>
          <w:sz w:val="22"/>
          <w:szCs w:val="22"/>
        </w:rPr>
        <w:t>How can a customer conserve in order to eliminate the proposed rate increases?</w:t>
      </w:r>
    </w:p>
    <w:p w:rsidR="00A53120" w:rsidRPr="00B45188" w:rsidRDefault="00103848" w:rsidP="00803F40">
      <w:pPr>
        <w:pStyle w:val="ListParagraph"/>
        <w:numPr>
          <w:ilvl w:val="1"/>
          <w:numId w:val="13"/>
        </w:numPr>
        <w:jc w:val="both"/>
        <w:rPr>
          <w:rFonts w:asciiTheme="minorHAnsi" w:hAnsiTheme="minorHAnsi"/>
          <w:sz w:val="22"/>
          <w:szCs w:val="22"/>
        </w:rPr>
      </w:pPr>
      <w:r w:rsidRPr="00B45188">
        <w:rPr>
          <w:rFonts w:asciiTheme="minorHAnsi" w:hAnsiTheme="minorHAnsi"/>
          <w:sz w:val="22"/>
          <w:szCs w:val="22"/>
        </w:rPr>
        <w:t>In general, if a customer conserves a percentage of water equal to the percentage increase in their proposed bill, the increase would be eliminated. That is, their bill would remain at about the FY 2015 level.</w:t>
      </w:r>
      <w:bookmarkStart w:id="3" w:name="_GoBack"/>
      <w:bookmarkEnd w:id="3"/>
    </w:p>
    <w:sectPr w:rsidR="00A53120" w:rsidRPr="00B45188" w:rsidSect="0079722D">
      <w:headerReference w:type="default" r:id="rId8"/>
      <w:footerReference w:type="default" r:id="rId9"/>
      <w:headerReference w:type="first" r:id="rId10"/>
      <w:footerReference w:type="first" r:id="rId11"/>
      <w:pgSz w:w="12240" w:h="15840"/>
      <w:pgMar w:top="1440" w:right="1440" w:bottom="1440" w:left="1440" w:header="720" w:footer="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A1" w:rsidRDefault="00C85EA1" w:rsidP="0014040A">
      <w:r>
        <w:separator/>
      </w:r>
    </w:p>
  </w:endnote>
  <w:endnote w:type="continuationSeparator" w:id="0">
    <w:p w:rsidR="00C85EA1" w:rsidRDefault="00C85EA1" w:rsidP="0014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20" w:rsidRPr="004913D5" w:rsidRDefault="00A53120" w:rsidP="002E2672">
    <w:pPr>
      <w:pStyle w:val="Footer"/>
      <w:tabs>
        <w:tab w:val="center" w:pos="4860"/>
        <w:tab w:val="right" w:pos="9450"/>
      </w:tabs>
      <w:rPr>
        <w:rFonts w:asciiTheme="minorHAnsi" w:hAnsiTheme="minorHAnsi"/>
        <w:sz w:val="22"/>
        <w:szCs w:val="22"/>
      </w:rPr>
    </w:pPr>
    <w:r w:rsidRPr="004913D5">
      <w:rPr>
        <w:rFonts w:asciiTheme="minorHAnsi" w:hAnsiTheme="minorHAnsi"/>
        <w:noProof/>
        <w:sz w:val="22"/>
        <w:szCs w:val="22"/>
      </w:rPr>
      <mc:AlternateContent>
        <mc:Choice Requires="wps">
          <w:drawing>
            <wp:anchor distT="4294967292" distB="4294967292" distL="114300" distR="114300" simplePos="0" relativeHeight="251673600" behindDoc="0" locked="0" layoutInCell="1" allowOverlap="1" wp14:anchorId="0BBC2762" wp14:editId="4C3F88E8">
              <wp:simplePos x="0" y="0"/>
              <wp:positionH relativeFrom="column">
                <wp:posOffset>-8626</wp:posOffset>
              </wp:positionH>
              <wp:positionV relativeFrom="paragraph">
                <wp:posOffset>-22441</wp:posOffset>
              </wp:positionV>
              <wp:extent cx="5960852" cy="0"/>
              <wp:effectExtent l="0" t="0" r="2095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852"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5558" id="Line 2"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pt,-1.75pt" to="46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" strokecolor="navy" strokeweight="1.5pt"/>
          </w:pict>
        </mc:Fallback>
      </mc:AlternateContent>
    </w:r>
    <w:r w:rsidRPr="004913D5">
      <w:rPr>
        <w:rFonts w:asciiTheme="minorHAnsi" w:hAnsiTheme="minorHAnsi"/>
        <w:sz w:val="22"/>
        <w:szCs w:val="22"/>
      </w:rPr>
      <w:t>MFSG</w:t>
    </w:r>
    <w:r w:rsidRPr="004913D5">
      <w:rPr>
        <w:rFonts w:asciiTheme="minorHAnsi" w:hAnsiTheme="minorHAnsi"/>
        <w:sz w:val="22"/>
        <w:szCs w:val="22"/>
      </w:rPr>
      <w:tab/>
    </w:r>
    <w:r w:rsidRPr="004913D5">
      <w:rPr>
        <w:rStyle w:val="PageNumber"/>
        <w:rFonts w:asciiTheme="minorHAnsi" w:hAnsiTheme="minorHAnsi"/>
        <w:sz w:val="22"/>
        <w:szCs w:val="22"/>
      </w:rPr>
      <w:fldChar w:fldCharType="begin"/>
    </w:r>
    <w:r w:rsidRPr="004913D5">
      <w:rPr>
        <w:rStyle w:val="PageNumber"/>
        <w:rFonts w:asciiTheme="minorHAnsi" w:hAnsiTheme="minorHAnsi"/>
        <w:sz w:val="22"/>
        <w:szCs w:val="22"/>
      </w:rPr>
      <w:instrText xml:space="preserve"> PAGE </w:instrText>
    </w:r>
    <w:r w:rsidRPr="004913D5">
      <w:rPr>
        <w:rStyle w:val="PageNumber"/>
        <w:rFonts w:asciiTheme="minorHAnsi" w:hAnsiTheme="minorHAnsi"/>
        <w:sz w:val="22"/>
        <w:szCs w:val="22"/>
      </w:rPr>
      <w:fldChar w:fldCharType="separate"/>
    </w:r>
    <w:r w:rsidR="00B45188">
      <w:rPr>
        <w:rStyle w:val="PageNumber"/>
        <w:rFonts w:asciiTheme="minorHAnsi" w:hAnsiTheme="minorHAnsi"/>
        <w:noProof/>
        <w:sz w:val="22"/>
        <w:szCs w:val="22"/>
      </w:rPr>
      <w:t>4</w:t>
    </w:r>
    <w:r w:rsidRPr="004913D5">
      <w:rPr>
        <w:rStyle w:val="PageNumber"/>
        <w:rFonts w:asciiTheme="minorHAnsi" w:hAnsiTheme="minorHAnsi"/>
        <w:sz w:val="22"/>
        <w:szCs w:val="22"/>
      </w:rPr>
      <w:fldChar w:fldCharType="end"/>
    </w:r>
    <w:r w:rsidRPr="004913D5">
      <w:rPr>
        <w:rStyle w:val="PageNumber"/>
        <w:rFonts w:asciiTheme="minorHAnsi" w:hAnsiTheme="minorHAnsi"/>
        <w:sz w:val="22"/>
        <w:szCs w:val="22"/>
      </w:rPr>
      <w:tab/>
      <w:t xml:space="preserve"> </w:t>
    </w:r>
    <w:r w:rsidRPr="004913D5">
      <w:rPr>
        <w:rStyle w:val="PageNumber"/>
        <w:rFonts w:asciiTheme="minorHAnsi" w:hAnsiTheme="minorHAnsi"/>
        <w:sz w:val="22"/>
        <w:szCs w:val="22"/>
      </w:rPr>
      <w:tab/>
      <w:t xml:space="preserve"> Village</w:t>
    </w:r>
    <w:r>
      <w:rPr>
        <w:rStyle w:val="PageNumber"/>
        <w:rFonts w:asciiTheme="minorHAnsi" w:hAnsiTheme="minorHAnsi"/>
        <w:sz w:val="22"/>
        <w:szCs w:val="22"/>
      </w:rPr>
      <w:t xml:space="preserve"> of Orland Park</w:t>
    </w:r>
  </w:p>
  <w:p w:rsidR="00A53120" w:rsidRDefault="00A53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20" w:rsidRPr="004913D5" w:rsidRDefault="00A53120" w:rsidP="0079722D">
    <w:pPr>
      <w:pStyle w:val="Footer"/>
      <w:tabs>
        <w:tab w:val="center" w:pos="4860"/>
        <w:tab w:val="right" w:pos="9450"/>
      </w:tabs>
      <w:rPr>
        <w:rFonts w:asciiTheme="minorHAnsi" w:hAnsiTheme="minorHAnsi"/>
        <w:sz w:val="22"/>
        <w:szCs w:val="22"/>
      </w:rPr>
    </w:pPr>
    <w:r w:rsidRPr="004913D5">
      <w:rPr>
        <w:rFonts w:asciiTheme="minorHAnsi" w:hAnsiTheme="minorHAnsi"/>
        <w:noProof/>
        <w:sz w:val="22"/>
        <w:szCs w:val="22"/>
      </w:rPr>
      <mc:AlternateContent>
        <mc:Choice Requires="wps">
          <w:drawing>
            <wp:anchor distT="4294967292" distB="4294967292" distL="114300" distR="114300" simplePos="0" relativeHeight="251671552" behindDoc="0" locked="0" layoutInCell="1" allowOverlap="1" wp14:anchorId="1DD48CF3" wp14:editId="7E30171F">
              <wp:simplePos x="0" y="0"/>
              <wp:positionH relativeFrom="column">
                <wp:posOffset>-8626</wp:posOffset>
              </wp:positionH>
              <wp:positionV relativeFrom="paragraph">
                <wp:posOffset>-22441</wp:posOffset>
              </wp:positionV>
              <wp:extent cx="5960852" cy="0"/>
              <wp:effectExtent l="0" t="0" r="20955"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852"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878A" id="Line 2"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pt,-1.75pt" to="46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gM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" strokecolor="navy" strokeweight="1.5pt"/>
          </w:pict>
        </mc:Fallback>
      </mc:AlternateContent>
    </w:r>
    <w:r w:rsidRPr="004913D5">
      <w:rPr>
        <w:rFonts w:asciiTheme="minorHAnsi" w:hAnsiTheme="minorHAnsi"/>
        <w:sz w:val="22"/>
        <w:szCs w:val="22"/>
      </w:rPr>
      <w:t>MFSG</w:t>
    </w:r>
    <w:r w:rsidRPr="004913D5">
      <w:rPr>
        <w:rFonts w:asciiTheme="minorHAnsi" w:hAnsiTheme="minorHAnsi"/>
        <w:sz w:val="22"/>
        <w:szCs w:val="22"/>
      </w:rPr>
      <w:tab/>
    </w:r>
    <w:r w:rsidRPr="004913D5">
      <w:rPr>
        <w:rStyle w:val="PageNumber"/>
        <w:rFonts w:asciiTheme="minorHAnsi" w:hAnsiTheme="minorHAnsi"/>
        <w:sz w:val="22"/>
        <w:szCs w:val="22"/>
      </w:rPr>
      <w:fldChar w:fldCharType="begin"/>
    </w:r>
    <w:r w:rsidRPr="004913D5">
      <w:rPr>
        <w:rStyle w:val="PageNumber"/>
        <w:rFonts w:asciiTheme="minorHAnsi" w:hAnsiTheme="minorHAnsi"/>
        <w:sz w:val="22"/>
        <w:szCs w:val="22"/>
      </w:rPr>
      <w:instrText xml:space="preserve"> PAGE </w:instrText>
    </w:r>
    <w:r w:rsidRPr="004913D5">
      <w:rPr>
        <w:rStyle w:val="PageNumber"/>
        <w:rFonts w:asciiTheme="minorHAnsi" w:hAnsiTheme="minorHAnsi"/>
        <w:sz w:val="22"/>
        <w:szCs w:val="22"/>
      </w:rPr>
      <w:fldChar w:fldCharType="separate"/>
    </w:r>
    <w:r w:rsidR="007515FB">
      <w:rPr>
        <w:rStyle w:val="PageNumber"/>
        <w:rFonts w:asciiTheme="minorHAnsi" w:hAnsiTheme="minorHAnsi"/>
        <w:noProof/>
        <w:sz w:val="22"/>
        <w:szCs w:val="22"/>
      </w:rPr>
      <w:t>1</w:t>
    </w:r>
    <w:r w:rsidRPr="004913D5">
      <w:rPr>
        <w:rStyle w:val="PageNumber"/>
        <w:rFonts w:asciiTheme="minorHAnsi" w:hAnsiTheme="minorHAnsi"/>
        <w:sz w:val="22"/>
        <w:szCs w:val="22"/>
      </w:rPr>
      <w:fldChar w:fldCharType="end"/>
    </w:r>
    <w:r w:rsidRPr="004913D5">
      <w:rPr>
        <w:rStyle w:val="PageNumber"/>
        <w:rFonts w:asciiTheme="minorHAnsi" w:hAnsiTheme="minorHAnsi"/>
        <w:sz w:val="22"/>
        <w:szCs w:val="22"/>
      </w:rPr>
      <w:tab/>
      <w:t xml:space="preserve"> </w:t>
    </w:r>
    <w:r w:rsidRPr="004913D5">
      <w:rPr>
        <w:rStyle w:val="PageNumber"/>
        <w:rFonts w:asciiTheme="minorHAnsi" w:hAnsiTheme="minorHAnsi"/>
        <w:sz w:val="22"/>
        <w:szCs w:val="22"/>
      </w:rPr>
      <w:tab/>
    </w:r>
    <w:r>
      <w:rPr>
        <w:rStyle w:val="PageNumber"/>
        <w:rFonts w:asciiTheme="minorHAnsi" w:hAnsiTheme="minorHAnsi"/>
        <w:sz w:val="22"/>
        <w:szCs w:val="22"/>
      </w:rPr>
      <w:t>Village of Orland Park</w:t>
    </w:r>
  </w:p>
  <w:p w:rsidR="00A53120" w:rsidRDefault="00A5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A1" w:rsidRDefault="00C85EA1" w:rsidP="0014040A">
      <w:r>
        <w:separator/>
      </w:r>
    </w:p>
  </w:footnote>
  <w:footnote w:type="continuationSeparator" w:id="0">
    <w:p w:rsidR="00C85EA1" w:rsidRDefault="00C85EA1" w:rsidP="0014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20" w:rsidRDefault="00A53120" w:rsidP="0014040A">
    <w:pPr>
      <w:pStyle w:val="Header"/>
      <w:tabs>
        <w:tab w:val="left" w:pos="4287"/>
      </w:tabs>
    </w:pPr>
  </w:p>
  <w:p w:rsidR="00A53120" w:rsidRDefault="00A53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20" w:rsidRDefault="00A53120">
    <w:pPr>
      <w:pStyle w:val="Header"/>
    </w:pPr>
    <w:r>
      <w:rPr>
        <w:noProof/>
      </w:rPr>
      <mc:AlternateContent>
        <mc:Choice Requires="wps">
          <w:drawing>
            <wp:anchor distT="0" distB="0" distL="114300" distR="114300" simplePos="0" relativeHeight="251669504" behindDoc="0" locked="0" layoutInCell="1" allowOverlap="1" wp14:anchorId="33269AB0" wp14:editId="6B0912C0">
              <wp:simplePos x="0" y="0"/>
              <wp:positionH relativeFrom="column">
                <wp:posOffset>2762250</wp:posOffset>
              </wp:positionH>
              <wp:positionV relativeFrom="page">
                <wp:posOffset>714375</wp:posOffset>
              </wp:positionV>
              <wp:extent cx="3474720" cy="566420"/>
              <wp:effectExtent l="0" t="0" r="0" b="5080"/>
              <wp:wrapTight wrapText="largest">
                <wp:wrapPolygon edited="0">
                  <wp:start x="0" y="0"/>
                  <wp:lineTo x="0" y="21067"/>
                  <wp:lineTo x="21434" y="21067"/>
                  <wp:lineTo x="214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20" w:rsidRPr="00833F16" w:rsidRDefault="00A53120" w:rsidP="0079722D">
                          <w:pPr>
                            <w:jc w:val="right"/>
                            <w:rPr>
                              <w:rFonts w:asciiTheme="minorHAnsi" w:hAnsiTheme="minorHAnsi"/>
                              <w:b/>
                              <w:color w:val="000080"/>
                              <w:sz w:val="32"/>
                              <w:szCs w:val="32"/>
                            </w:rPr>
                          </w:pPr>
                          <w:r w:rsidRPr="00833F16">
                            <w:rPr>
                              <w:rFonts w:asciiTheme="minorHAnsi" w:hAnsiTheme="minorHAnsi"/>
                              <w:b/>
                              <w:color w:val="000080"/>
                              <w:sz w:val="32"/>
                              <w:szCs w:val="32"/>
                            </w:rPr>
                            <w:t xml:space="preserve">Municipal &amp; Financial </w:t>
                          </w:r>
                        </w:p>
                        <w:p w:rsidR="00A53120" w:rsidRPr="00833F16" w:rsidRDefault="00A53120" w:rsidP="0079722D">
                          <w:pPr>
                            <w:jc w:val="right"/>
                            <w:rPr>
                              <w:rFonts w:asciiTheme="minorHAnsi" w:hAnsiTheme="minorHAnsi"/>
                              <w:b/>
                              <w:color w:val="000080"/>
                              <w:sz w:val="32"/>
                              <w:szCs w:val="32"/>
                            </w:rPr>
                          </w:pPr>
                          <w:r w:rsidRPr="00833F16">
                            <w:rPr>
                              <w:rFonts w:asciiTheme="minorHAnsi" w:hAnsiTheme="minorHAnsi"/>
                              <w:b/>
                              <w:color w:val="000080"/>
                              <w:sz w:val="32"/>
                              <w:szCs w:val="32"/>
                            </w:rPr>
                            <w:t>Services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69AB0" id="_x0000_t202" coordsize="21600,21600" o:spt="202" path="m,l,21600r21600,l21600,xe">
              <v:stroke joinstyle="miter"/>
              <v:path gradientshapeok="t" o:connecttype="rect"/>
            </v:shapetype>
            <v:shape id="Text Box 7" o:spid="_x0000_s1026" type="#_x0000_t202" style="position:absolute;margin-left:217.5pt;margin-top:56.25pt;width:273.6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bifwIAAA8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" stroked="f">
              <v:textbox>
                <w:txbxContent>
                  <w:p w:rsidR="00A53120" w:rsidRPr="00833F16" w:rsidRDefault="00A53120" w:rsidP="0079722D">
                    <w:pPr>
                      <w:jc w:val="right"/>
                      <w:rPr>
                        <w:rFonts w:asciiTheme="minorHAnsi" w:hAnsiTheme="minorHAnsi"/>
                        <w:b/>
                        <w:color w:val="000080"/>
                        <w:sz w:val="32"/>
                        <w:szCs w:val="32"/>
                      </w:rPr>
                    </w:pPr>
                    <w:r w:rsidRPr="00833F16">
                      <w:rPr>
                        <w:rFonts w:asciiTheme="minorHAnsi" w:hAnsiTheme="minorHAnsi"/>
                        <w:b/>
                        <w:color w:val="000080"/>
                        <w:sz w:val="32"/>
                        <w:szCs w:val="32"/>
                      </w:rPr>
                      <w:t xml:space="preserve">Municipal &amp; Financial </w:t>
                    </w:r>
                  </w:p>
                  <w:p w:rsidR="00A53120" w:rsidRPr="00833F16" w:rsidRDefault="00A53120" w:rsidP="0079722D">
                    <w:pPr>
                      <w:jc w:val="right"/>
                      <w:rPr>
                        <w:rFonts w:asciiTheme="minorHAnsi" w:hAnsiTheme="minorHAnsi"/>
                        <w:b/>
                        <w:color w:val="000080"/>
                        <w:sz w:val="32"/>
                        <w:szCs w:val="32"/>
                      </w:rPr>
                    </w:pPr>
                    <w:r w:rsidRPr="00833F16">
                      <w:rPr>
                        <w:rFonts w:asciiTheme="minorHAnsi" w:hAnsiTheme="minorHAnsi"/>
                        <w:b/>
                        <w:color w:val="000080"/>
                        <w:sz w:val="32"/>
                        <w:szCs w:val="32"/>
                      </w:rPr>
                      <w:t>Services Group</w:t>
                    </w:r>
                  </w:p>
                </w:txbxContent>
              </v:textbox>
              <w10:wrap type="tight" side="largest" anchory="page"/>
            </v:shape>
          </w:pict>
        </mc:Fallback>
      </mc:AlternateContent>
    </w:r>
    <w:r>
      <w:rPr>
        <w:noProof/>
      </w:rPr>
      <mc:AlternateContent>
        <mc:Choice Requires="wps">
          <w:drawing>
            <wp:anchor distT="4294967295" distB="4294967295" distL="114300" distR="114300" simplePos="0" relativeHeight="251667456" behindDoc="0" locked="0" layoutInCell="0" allowOverlap="1" wp14:anchorId="461393D6" wp14:editId="781B4A90">
              <wp:simplePos x="0" y="0"/>
              <wp:positionH relativeFrom="column">
                <wp:posOffset>0</wp:posOffset>
              </wp:positionH>
              <wp:positionV relativeFrom="paragraph">
                <wp:posOffset>853440</wp:posOffset>
              </wp:positionV>
              <wp:extent cx="6158230" cy="0"/>
              <wp:effectExtent l="0" t="19050" r="52070" b="381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D080" id="Line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2pt" to="484.9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" o:allowincell="f" strokecolor="navy" strokeweight="4.5pt"/>
          </w:pict>
        </mc:Fallback>
      </mc:AlternateContent>
    </w:r>
    <w:r w:rsidRPr="00434923">
      <w:rPr>
        <w:noProof/>
      </w:rPr>
      <w:drawing>
        <wp:anchor distT="0" distB="0" distL="114300" distR="114300" simplePos="0" relativeHeight="251665408" behindDoc="0" locked="0" layoutInCell="1" allowOverlap="1" wp14:anchorId="400CD011" wp14:editId="4696FFAE">
          <wp:simplePos x="0" y="0"/>
          <wp:positionH relativeFrom="column">
            <wp:posOffset>0</wp:posOffset>
          </wp:positionH>
          <wp:positionV relativeFrom="paragraph">
            <wp:posOffset>0</wp:posOffset>
          </wp:positionV>
          <wp:extent cx="1685925" cy="853440"/>
          <wp:effectExtent l="0" t="0" r="9525"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853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0FD"/>
    <w:multiLevelType w:val="multilevel"/>
    <w:tmpl w:val="0409001D"/>
    <w:numStyleLink w:val="MMBullet"/>
  </w:abstractNum>
  <w:abstractNum w:abstractNumId="1" w15:restartNumberingAfterBreak="0">
    <w:nsid w:val="054547FC"/>
    <w:multiLevelType w:val="hybridMultilevel"/>
    <w:tmpl w:val="A8147CE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B98"/>
    <w:multiLevelType w:val="multilevel"/>
    <w:tmpl w:val="0409001D"/>
    <w:styleLink w:val="MMBullet"/>
    <w:lvl w:ilvl="0">
      <w:start w:val="1"/>
      <w:numFmt w:val="bullet"/>
      <w:lvlText w:val=""/>
      <w:lvlJc w:val="left"/>
      <w:pPr>
        <w:tabs>
          <w:tab w:val="num" w:pos="540"/>
        </w:tabs>
        <w:ind w:left="1260" w:hanging="360"/>
      </w:pPr>
      <w:rPr>
        <w:rFonts w:ascii="Symbol" w:hAnsi="Symbol" w:hint="default"/>
        <w:sz w:val="20"/>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0154A4"/>
    <w:multiLevelType w:val="hybridMultilevel"/>
    <w:tmpl w:val="DD72FC1E"/>
    <w:lvl w:ilvl="0" w:tplc="C30C4D96">
      <w:start w:val="1"/>
      <w:numFmt w:val="bullet"/>
      <w:lvlText w:val="–"/>
      <w:lvlJc w:val="left"/>
      <w:pPr>
        <w:tabs>
          <w:tab w:val="num" w:pos="720"/>
        </w:tabs>
        <w:ind w:left="720" w:hanging="360"/>
      </w:pPr>
      <w:rPr>
        <w:rFonts w:ascii="Times New Roman" w:hAnsi="Times New Roman" w:hint="default"/>
      </w:rPr>
    </w:lvl>
    <w:lvl w:ilvl="1" w:tplc="E97A81E2">
      <w:start w:val="1"/>
      <w:numFmt w:val="bullet"/>
      <w:lvlText w:val="–"/>
      <w:lvlJc w:val="left"/>
      <w:pPr>
        <w:tabs>
          <w:tab w:val="num" w:pos="1440"/>
        </w:tabs>
        <w:ind w:left="1440" w:hanging="360"/>
      </w:pPr>
      <w:rPr>
        <w:rFonts w:ascii="Times New Roman" w:hAnsi="Times New Roman" w:hint="default"/>
      </w:rPr>
    </w:lvl>
    <w:lvl w:ilvl="2" w:tplc="362E0986" w:tentative="1">
      <w:start w:val="1"/>
      <w:numFmt w:val="bullet"/>
      <w:lvlText w:val="–"/>
      <w:lvlJc w:val="left"/>
      <w:pPr>
        <w:tabs>
          <w:tab w:val="num" w:pos="2160"/>
        </w:tabs>
        <w:ind w:left="2160" w:hanging="360"/>
      </w:pPr>
      <w:rPr>
        <w:rFonts w:ascii="Times New Roman" w:hAnsi="Times New Roman" w:hint="default"/>
      </w:rPr>
    </w:lvl>
    <w:lvl w:ilvl="3" w:tplc="B4F25C26" w:tentative="1">
      <w:start w:val="1"/>
      <w:numFmt w:val="bullet"/>
      <w:lvlText w:val="–"/>
      <w:lvlJc w:val="left"/>
      <w:pPr>
        <w:tabs>
          <w:tab w:val="num" w:pos="2880"/>
        </w:tabs>
        <w:ind w:left="2880" w:hanging="360"/>
      </w:pPr>
      <w:rPr>
        <w:rFonts w:ascii="Times New Roman" w:hAnsi="Times New Roman" w:hint="default"/>
      </w:rPr>
    </w:lvl>
    <w:lvl w:ilvl="4" w:tplc="77A2DD84" w:tentative="1">
      <w:start w:val="1"/>
      <w:numFmt w:val="bullet"/>
      <w:lvlText w:val="–"/>
      <w:lvlJc w:val="left"/>
      <w:pPr>
        <w:tabs>
          <w:tab w:val="num" w:pos="3600"/>
        </w:tabs>
        <w:ind w:left="3600" w:hanging="360"/>
      </w:pPr>
      <w:rPr>
        <w:rFonts w:ascii="Times New Roman" w:hAnsi="Times New Roman" w:hint="default"/>
      </w:rPr>
    </w:lvl>
    <w:lvl w:ilvl="5" w:tplc="D076ECBC" w:tentative="1">
      <w:start w:val="1"/>
      <w:numFmt w:val="bullet"/>
      <w:lvlText w:val="–"/>
      <w:lvlJc w:val="left"/>
      <w:pPr>
        <w:tabs>
          <w:tab w:val="num" w:pos="4320"/>
        </w:tabs>
        <w:ind w:left="4320" w:hanging="360"/>
      </w:pPr>
      <w:rPr>
        <w:rFonts w:ascii="Times New Roman" w:hAnsi="Times New Roman" w:hint="default"/>
      </w:rPr>
    </w:lvl>
    <w:lvl w:ilvl="6" w:tplc="AD5649BC" w:tentative="1">
      <w:start w:val="1"/>
      <w:numFmt w:val="bullet"/>
      <w:lvlText w:val="–"/>
      <w:lvlJc w:val="left"/>
      <w:pPr>
        <w:tabs>
          <w:tab w:val="num" w:pos="5040"/>
        </w:tabs>
        <w:ind w:left="5040" w:hanging="360"/>
      </w:pPr>
      <w:rPr>
        <w:rFonts w:ascii="Times New Roman" w:hAnsi="Times New Roman" w:hint="default"/>
      </w:rPr>
    </w:lvl>
    <w:lvl w:ilvl="7" w:tplc="1DFEEE24" w:tentative="1">
      <w:start w:val="1"/>
      <w:numFmt w:val="bullet"/>
      <w:lvlText w:val="–"/>
      <w:lvlJc w:val="left"/>
      <w:pPr>
        <w:tabs>
          <w:tab w:val="num" w:pos="5760"/>
        </w:tabs>
        <w:ind w:left="5760" w:hanging="360"/>
      </w:pPr>
      <w:rPr>
        <w:rFonts w:ascii="Times New Roman" w:hAnsi="Times New Roman" w:hint="default"/>
      </w:rPr>
    </w:lvl>
    <w:lvl w:ilvl="8" w:tplc="742C4B9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D34B4B"/>
    <w:multiLevelType w:val="hybridMultilevel"/>
    <w:tmpl w:val="965CB9E6"/>
    <w:lvl w:ilvl="0" w:tplc="99A24148">
      <w:start w:val="1533"/>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901C1C"/>
    <w:multiLevelType w:val="hybridMultilevel"/>
    <w:tmpl w:val="3B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84C55"/>
    <w:multiLevelType w:val="hybridMultilevel"/>
    <w:tmpl w:val="B3ECE97E"/>
    <w:lvl w:ilvl="0" w:tplc="99A24148">
      <w:start w:val="1533"/>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BF11F4"/>
    <w:multiLevelType w:val="hybridMultilevel"/>
    <w:tmpl w:val="E5B4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E2018"/>
    <w:multiLevelType w:val="hybridMultilevel"/>
    <w:tmpl w:val="DE90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30210"/>
    <w:multiLevelType w:val="hybridMultilevel"/>
    <w:tmpl w:val="B80898EA"/>
    <w:lvl w:ilvl="0" w:tplc="85C4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12F93"/>
    <w:multiLevelType w:val="hybridMultilevel"/>
    <w:tmpl w:val="FDF0917A"/>
    <w:lvl w:ilvl="0" w:tplc="C238691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903AE"/>
    <w:multiLevelType w:val="hybridMultilevel"/>
    <w:tmpl w:val="74B6E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2C1CBD"/>
    <w:multiLevelType w:val="hybridMultilevel"/>
    <w:tmpl w:val="5E3C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1338E"/>
    <w:multiLevelType w:val="hybridMultilevel"/>
    <w:tmpl w:val="D3D06E9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12"/>
  </w:num>
  <w:num w:numId="6">
    <w:abstractNumId w:val="9"/>
  </w:num>
  <w:num w:numId="7">
    <w:abstractNumId w:val="8"/>
  </w:num>
  <w:num w:numId="8">
    <w:abstractNumId w:val="13"/>
  </w:num>
  <w:num w:numId="9">
    <w:abstractNumId w:val="11"/>
  </w:num>
  <w:num w:numId="10">
    <w:abstractNumId w:val="4"/>
  </w:num>
  <w:num w:numId="11">
    <w:abstractNumId w:val="6"/>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0A"/>
    <w:rsid w:val="00015263"/>
    <w:rsid w:val="00042AC0"/>
    <w:rsid w:val="00056AF0"/>
    <w:rsid w:val="0006230F"/>
    <w:rsid w:val="00097C68"/>
    <w:rsid w:val="000A0E45"/>
    <w:rsid w:val="000A4F02"/>
    <w:rsid w:val="00103848"/>
    <w:rsid w:val="00121FFE"/>
    <w:rsid w:val="0012269D"/>
    <w:rsid w:val="0014040A"/>
    <w:rsid w:val="001454B1"/>
    <w:rsid w:val="001E3966"/>
    <w:rsid w:val="00233C75"/>
    <w:rsid w:val="002437FD"/>
    <w:rsid w:val="002600E5"/>
    <w:rsid w:val="002766C8"/>
    <w:rsid w:val="00296CC0"/>
    <w:rsid w:val="002B351E"/>
    <w:rsid w:val="002E2672"/>
    <w:rsid w:val="002F2F48"/>
    <w:rsid w:val="003346A9"/>
    <w:rsid w:val="00362487"/>
    <w:rsid w:val="00390F4B"/>
    <w:rsid w:val="003A6C77"/>
    <w:rsid w:val="003E46D4"/>
    <w:rsid w:val="003E637C"/>
    <w:rsid w:val="003F3C51"/>
    <w:rsid w:val="00410848"/>
    <w:rsid w:val="00450136"/>
    <w:rsid w:val="00466648"/>
    <w:rsid w:val="004879A8"/>
    <w:rsid w:val="004913D5"/>
    <w:rsid w:val="004A3EAB"/>
    <w:rsid w:val="004C6C4E"/>
    <w:rsid w:val="004D6AF5"/>
    <w:rsid w:val="00504BAA"/>
    <w:rsid w:val="00514C1D"/>
    <w:rsid w:val="005428BE"/>
    <w:rsid w:val="00545586"/>
    <w:rsid w:val="005A5A18"/>
    <w:rsid w:val="005B09D2"/>
    <w:rsid w:val="005C3925"/>
    <w:rsid w:val="00606051"/>
    <w:rsid w:val="00630021"/>
    <w:rsid w:val="0065035A"/>
    <w:rsid w:val="00682440"/>
    <w:rsid w:val="006B18EB"/>
    <w:rsid w:val="006E2EC8"/>
    <w:rsid w:val="00704183"/>
    <w:rsid w:val="00745B20"/>
    <w:rsid w:val="007515FB"/>
    <w:rsid w:val="0079722D"/>
    <w:rsid w:val="007A190A"/>
    <w:rsid w:val="007C21DA"/>
    <w:rsid w:val="007D3F8B"/>
    <w:rsid w:val="007E65B2"/>
    <w:rsid w:val="00833F16"/>
    <w:rsid w:val="008419B4"/>
    <w:rsid w:val="0084207A"/>
    <w:rsid w:val="00847C0A"/>
    <w:rsid w:val="008F733D"/>
    <w:rsid w:val="00966BCA"/>
    <w:rsid w:val="00986814"/>
    <w:rsid w:val="009A1AF7"/>
    <w:rsid w:val="009A4B82"/>
    <w:rsid w:val="009E1856"/>
    <w:rsid w:val="009E5746"/>
    <w:rsid w:val="009F4B21"/>
    <w:rsid w:val="00A4526F"/>
    <w:rsid w:val="00A53120"/>
    <w:rsid w:val="00A72043"/>
    <w:rsid w:val="00A80C71"/>
    <w:rsid w:val="00AC39FE"/>
    <w:rsid w:val="00AE241D"/>
    <w:rsid w:val="00B0438B"/>
    <w:rsid w:val="00B101BA"/>
    <w:rsid w:val="00B26C1F"/>
    <w:rsid w:val="00B30DD7"/>
    <w:rsid w:val="00B331D8"/>
    <w:rsid w:val="00B45188"/>
    <w:rsid w:val="00B45A9A"/>
    <w:rsid w:val="00B51866"/>
    <w:rsid w:val="00C029DD"/>
    <w:rsid w:val="00C21033"/>
    <w:rsid w:val="00C33FBB"/>
    <w:rsid w:val="00C50AE4"/>
    <w:rsid w:val="00C85EA1"/>
    <w:rsid w:val="00CD262F"/>
    <w:rsid w:val="00D1103C"/>
    <w:rsid w:val="00D12B6C"/>
    <w:rsid w:val="00D60A7F"/>
    <w:rsid w:val="00DC3EF2"/>
    <w:rsid w:val="00DD6110"/>
    <w:rsid w:val="00DF4C3F"/>
    <w:rsid w:val="00E65BA4"/>
    <w:rsid w:val="00E66424"/>
    <w:rsid w:val="00EA39DC"/>
    <w:rsid w:val="00EA3F02"/>
    <w:rsid w:val="00ED2DDC"/>
    <w:rsid w:val="00ED6F90"/>
    <w:rsid w:val="00EF520B"/>
    <w:rsid w:val="00F06E59"/>
    <w:rsid w:val="00F36E86"/>
    <w:rsid w:val="00F71714"/>
    <w:rsid w:val="00F72EFA"/>
    <w:rsid w:val="00F90EAE"/>
    <w:rsid w:val="00FA4D79"/>
    <w:rsid w:val="00FC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5172"/>
  <w15:docId w15:val="{D92EAEBC-3714-4795-AA93-31BE9133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04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0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04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Head1">
    <w:name w:val="MMHead1"/>
    <w:basedOn w:val="Heading1"/>
    <w:link w:val="MMHead1Char"/>
    <w:rsid w:val="0014040A"/>
    <w:pPr>
      <w:keepLines w:val="0"/>
      <w:spacing w:before="0" w:after="480"/>
      <w:jc w:val="center"/>
    </w:pPr>
    <w:rPr>
      <w:rFonts w:ascii="Times New Roman Bold" w:eastAsia="Times New Roman" w:hAnsi="Times New Roman Bold" w:cs="Times New Roman"/>
      <w:color w:val="000080"/>
      <w:kern w:val="32"/>
      <w:sz w:val="24"/>
      <w:szCs w:val="24"/>
    </w:rPr>
  </w:style>
  <w:style w:type="paragraph" w:customStyle="1" w:styleId="MMHead2">
    <w:name w:val="MMHead2"/>
    <w:basedOn w:val="Heading2"/>
    <w:link w:val="MMHead2Char"/>
    <w:rsid w:val="0014040A"/>
    <w:pPr>
      <w:keepLines w:val="0"/>
      <w:spacing w:before="0" w:after="240"/>
    </w:pPr>
    <w:rPr>
      <w:rFonts w:ascii="Times New Roman Bold" w:eastAsia="Times New Roman" w:hAnsi="Times New Roman Bold" w:cs="Times New Roman"/>
      <w:i/>
      <w:iCs/>
      <w:color w:val="000080"/>
      <w:sz w:val="24"/>
      <w:szCs w:val="24"/>
    </w:rPr>
  </w:style>
  <w:style w:type="paragraph" w:customStyle="1" w:styleId="MMParagraphCharCharCharCharCharCharCharCharCharChar">
    <w:name w:val="MMParagraph Char Char Char Char Char Char Char Char Char Char"/>
    <w:basedOn w:val="Normal"/>
    <w:link w:val="MMParagraphCharCharCharCharCharCharCharCharCharCharChar"/>
    <w:rsid w:val="0014040A"/>
    <w:pPr>
      <w:spacing w:after="240"/>
      <w:jc w:val="both"/>
    </w:pPr>
  </w:style>
  <w:style w:type="numbering" w:customStyle="1" w:styleId="MMBullet">
    <w:name w:val="MMBullet"/>
    <w:basedOn w:val="NoList"/>
    <w:rsid w:val="0014040A"/>
    <w:pPr>
      <w:numPr>
        <w:numId w:val="1"/>
      </w:numPr>
    </w:pPr>
  </w:style>
  <w:style w:type="character" w:customStyle="1" w:styleId="MMParagraphCharCharCharCharCharCharCharCharCharCharChar">
    <w:name w:val="MMParagraph Char Char Char Char Char Char Char Char Char Char Char"/>
    <w:link w:val="MMParagraphCharCharCharCharCharCharCharCharCharChar"/>
    <w:rsid w:val="0014040A"/>
    <w:rPr>
      <w:rFonts w:ascii="Times New Roman" w:eastAsia="Times New Roman" w:hAnsi="Times New Roman" w:cs="Times New Roman"/>
      <w:sz w:val="24"/>
      <w:szCs w:val="24"/>
    </w:rPr>
  </w:style>
  <w:style w:type="character" w:customStyle="1" w:styleId="MMHead1Char">
    <w:name w:val="MMHead1 Char"/>
    <w:link w:val="MMHead1"/>
    <w:rsid w:val="0014040A"/>
    <w:rPr>
      <w:rFonts w:ascii="Times New Roman Bold" w:eastAsia="Times New Roman" w:hAnsi="Times New Roman Bold" w:cs="Times New Roman"/>
      <w:b/>
      <w:bCs/>
      <w:color w:val="000080"/>
      <w:kern w:val="32"/>
      <w:sz w:val="24"/>
      <w:szCs w:val="24"/>
    </w:rPr>
  </w:style>
  <w:style w:type="paragraph" w:styleId="ListParagraph">
    <w:name w:val="List Paragraph"/>
    <w:basedOn w:val="Normal"/>
    <w:uiPriority w:val="34"/>
    <w:qFormat/>
    <w:rsid w:val="0014040A"/>
    <w:pPr>
      <w:ind w:left="720"/>
      <w:contextualSpacing/>
    </w:pPr>
  </w:style>
  <w:style w:type="paragraph" w:styleId="NormalWeb">
    <w:name w:val="Normal (Web)"/>
    <w:basedOn w:val="Normal"/>
    <w:uiPriority w:val="99"/>
    <w:unhideWhenUsed/>
    <w:rsid w:val="0014040A"/>
    <w:pPr>
      <w:spacing w:before="100" w:beforeAutospacing="1" w:after="100" w:afterAutospacing="1"/>
    </w:pPr>
  </w:style>
  <w:style w:type="character" w:customStyle="1" w:styleId="MMHead2Char">
    <w:name w:val="MMHead2 Char"/>
    <w:link w:val="MMHead2"/>
    <w:rsid w:val="0014040A"/>
    <w:rPr>
      <w:rFonts w:ascii="Times New Roman Bold" w:eastAsia="Times New Roman" w:hAnsi="Times New Roman Bold" w:cs="Times New Roman"/>
      <w:b/>
      <w:bCs/>
      <w:i/>
      <w:iCs/>
      <w:color w:val="000080"/>
      <w:sz w:val="24"/>
      <w:szCs w:val="24"/>
    </w:rPr>
  </w:style>
  <w:style w:type="character" w:customStyle="1" w:styleId="Heading1Char">
    <w:name w:val="Heading 1 Char"/>
    <w:basedOn w:val="DefaultParagraphFont"/>
    <w:link w:val="Heading1"/>
    <w:uiPriority w:val="9"/>
    <w:rsid w:val="001404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04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14040A"/>
    <w:pPr>
      <w:tabs>
        <w:tab w:val="center" w:pos="4680"/>
        <w:tab w:val="right" w:pos="9360"/>
      </w:tabs>
    </w:pPr>
  </w:style>
  <w:style w:type="character" w:customStyle="1" w:styleId="HeaderChar">
    <w:name w:val="Header Char"/>
    <w:basedOn w:val="DefaultParagraphFont"/>
    <w:link w:val="Header"/>
    <w:rsid w:val="0014040A"/>
    <w:rPr>
      <w:rFonts w:ascii="Times New Roman" w:eastAsia="Times New Roman" w:hAnsi="Times New Roman" w:cs="Times New Roman"/>
      <w:sz w:val="24"/>
      <w:szCs w:val="24"/>
    </w:rPr>
  </w:style>
  <w:style w:type="paragraph" w:styleId="Footer">
    <w:name w:val="footer"/>
    <w:basedOn w:val="Normal"/>
    <w:link w:val="FooterChar"/>
    <w:unhideWhenUsed/>
    <w:rsid w:val="0014040A"/>
    <w:pPr>
      <w:tabs>
        <w:tab w:val="center" w:pos="4680"/>
        <w:tab w:val="right" w:pos="9360"/>
      </w:tabs>
    </w:pPr>
  </w:style>
  <w:style w:type="character" w:customStyle="1" w:styleId="FooterChar">
    <w:name w:val="Footer Char"/>
    <w:basedOn w:val="DefaultParagraphFont"/>
    <w:link w:val="Footer"/>
    <w:rsid w:val="0014040A"/>
    <w:rPr>
      <w:rFonts w:ascii="Times New Roman" w:eastAsia="Times New Roman" w:hAnsi="Times New Roman" w:cs="Times New Roman"/>
      <w:sz w:val="24"/>
      <w:szCs w:val="24"/>
    </w:rPr>
  </w:style>
  <w:style w:type="character" w:styleId="CommentReference">
    <w:name w:val="annotation reference"/>
    <w:uiPriority w:val="99"/>
    <w:semiHidden/>
    <w:rsid w:val="00466648"/>
    <w:rPr>
      <w:sz w:val="16"/>
      <w:szCs w:val="16"/>
    </w:rPr>
  </w:style>
  <w:style w:type="paragraph" w:styleId="CommentText">
    <w:name w:val="annotation text"/>
    <w:basedOn w:val="Normal"/>
    <w:link w:val="CommentTextChar"/>
    <w:uiPriority w:val="99"/>
    <w:semiHidden/>
    <w:rsid w:val="00466648"/>
    <w:rPr>
      <w:sz w:val="20"/>
      <w:szCs w:val="20"/>
    </w:rPr>
  </w:style>
  <w:style w:type="character" w:customStyle="1" w:styleId="CommentTextChar">
    <w:name w:val="Comment Text Char"/>
    <w:basedOn w:val="DefaultParagraphFont"/>
    <w:link w:val="CommentText"/>
    <w:uiPriority w:val="99"/>
    <w:semiHidden/>
    <w:rsid w:val="004666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648"/>
    <w:rPr>
      <w:rFonts w:ascii="Tahoma" w:hAnsi="Tahoma" w:cs="Tahoma"/>
      <w:sz w:val="16"/>
      <w:szCs w:val="16"/>
    </w:rPr>
  </w:style>
  <w:style w:type="character" w:customStyle="1" w:styleId="BalloonTextChar">
    <w:name w:val="Balloon Text Char"/>
    <w:basedOn w:val="DefaultParagraphFont"/>
    <w:link w:val="BalloonText"/>
    <w:uiPriority w:val="99"/>
    <w:semiHidden/>
    <w:rsid w:val="00466648"/>
    <w:rPr>
      <w:rFonts w:ascii="Tahoma" w:eastAsia="Times New Roman" w:hAnsi="Tahoma" w:cs="Tahoma"/>
      <w:sz w:val="16"/>
      <w:szCs w:val="16"/>
    </w:rPr>
  </w:style>
  <w:style w:type="character" w:styleId="PageNumber">
    <w:name w:val="page number"/>
    <w:basedOn w:val="DefaultParagraphFont"/>
    <w:rsid w:val="009A1AF7"/>
  </w:style>
  <w:style w:type="paragraph" w:styleId="CommentSubject">
    <w:name w:val="annotation subject"/>
    <w:basedOn w:val="CommentText"/>
    <w:next w:val="CommentText"/>
    <w:link w:val="CommentSubjectChar"/>
    <w:uiPriority w:val="99"/>
    <w:semiHidden/>
    <w:unhideWhenUsed/>
    <w:rsid w:val="00B101BA"/>
    <w:rPr>
      <w:b/>
      <w:bCs/>
    </w:rPr>
  </w:style>
  <w:style w:type="character" w:customStyle="1" w:styleId="CommentSubjectChar">
    <w:name w:val="Comment Subject Char"/>
    <w:basedOn w:val="CommentTextChar"/>
    <w:link w:val="CommentSubject"/>
    <w:uiPriority w:val="99"/>
    <w:semiHidden/>
    <w:rsid w:val="00B101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521">
      <w:bodyDiv w:val="1"/>
      <w:marLeft w:val="0"/>
      <w:marRight w:val="0"/>
      <w:marTop w:val="0"/>
      <w:marBottom w:val="0"/>
      <w:divBdr>
        <w:top w:val="none" w:sz="0" w:space="0" w:color="auto"/>
        <w:left w:val="none" w:sz="0" w:space="0" w:color="auto"/>
        <w:bottom w:val="none" w:sz="0" w:space="0" w:color="auto"/>
        <w:right w:val="none" w:sz="0" w:space="0" w:color="auto"/>
      </w:divBdr>
    </w:div>
    <w:div w:id="562909897">
      <w:bodyDiv w:val="1"/>
      <w:marLeft w:val="0"/>
      <w:marRight w:val="0"/>
      <w:marTop w:val="0"/>
      <w:marBottom w:val="0"/>
      <w:divBdr>
        <w:top w:val="none" w:sz="0" w:space="0" w:color="auto"/>
        <w:left w:val="none" w:sz="0" w:space="0" w:color="auto"/>
        <w:bottom w:val="none" w:sz="0" w:space="0" w:color="auto"/>
        <w:right w:val="none" w:sz="0" w:space="0" w:color="auto"/>
      </w:divBdr>
    </w:div>
    <w:div w:id="698355766">
      <w:bodyDiv w:val="1"/>
      <w:marLeft w:val="0"/>
      <w:marRight w:val="0"/>
      <w:marTop w:val="0"/>
      <w:marBottom w:val="0"/>
      <w:divBdr>
        <w:top w:val="none" w:sz="0" w:space="0" w:color="auto"/>
        <w:left w:val="none" w:sz="0" w:space="0" w:color="auto"/>
        <w:bottom w:val="none" w:sz="0" w:space="0" w:color="auto"/>
        <w:right w:val="none" w:sz="0" w:space="0" w:color="auto"/>
      </w:divBdr>
    </w:div>
    <w:div w:id="1020090240">
      <w:bodyDiv w:val="1"/>
      <w:marLeft w:val="0"/>
      <w:marRight w:val="0"/>
      <w:marTop w:val="0"/>
      <w:marBottom w:val="0"/>
      <w:divBdr>
        <w:top w:val="none" w:sz="0" w:space="0" w:color="auto"/>
        <w:left w:val="none" w:sz="0" w:space="0" w:color="auto"/>
        <w:bottom w:val="none" w:sz="0" w:space="0" w:color="auto"/>
        <w:right w:val="none" w:sz="0" w:space="0" w:color="auto"/>
      </w:divBdr>
    </w:div>
    <w:div w:id="1041516639">
      <w:bodyDiv w:val="1"/>
      <w:marLeft w:val="0"/>
      <w:marRight w:val="0"/>
      <w:marTop w:val="0"/>
      <w:marBottom w:val="0"/>
      <w:divBdr>
        <w:top w:val="none" w:sz="0" w:space="0" w:color="auto"/>
        <w:left w:val="none" w:sz="0" w:space="0" w:color="auto"/>
        <w:bottom w:val="none" w:sz="0" w:space="0" w:color="auto"/>
        <w:right w:val="none" w:sz="0" w:space="0" w:color="auto"/>
      </w:divBdr>
    </w:div>
    <w:div w:id="1597981221">
      <w:bodyDiv w:val="1"/>
      <w:marLeft w:val="0"/>
      <w:marRight w:val="0"/>
      <w:marTop w:val="0"/>
      <w:marBottom w:val="0"/>
      <w:divBdr>
        <w:top w:val="none" w:sz="0" w:space="0" w:color="auto"/>
        <w:left w:val="none" w:sz="0" w:space="0" w:color="auto"/>
        <w:bottom w:val="none" w:sz="0" w:space="0" w:color="auto"/>
        <w:right w:val="none" w:sz="0" w:space="0" w:color="auto"/>
      </w:divBdr>
      <w:divsChild>
        <w:div w:id="774523968">
          <w:marLeft w:val="1166"/>
          <w:marRight w:val="0"/>
          <w:marTop w:val="160"/>
          <w:marBottom w:val="160"/>
          <w:divBdr>
            <w:top w:val="none" w:sz="0" w:space="0" w:color="auto"/>
            <w:left w:val="none" w:sz="0" w:space="0" w:color="auto"/>
            <w:bottom w:val="none" w:sz="0" w:space="0" w:color="auto"/>
            <w:right w:val="none" w:sz="0" w:space="0" w:color="auto"/>
          </w:divBdr>
        </w:div>
      </w:divsChild>
    </w:div>
    <w:div w:id="16261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3F1D-2F9D-45EA-ADBA-8F7FF7CF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Hyder</dc:creator>
  <cp:keywords/>
  <dc:description/>
  <cp:lastModifiedBy>Eric Callocchia</cp:lastModifiedBy>
  <cp:revision>5</cp:revision>
  <dcterms:created xsi:type="dcterms:W3CDTF">2016-02-29T14:17:00Z</dcterms:created>
  <dcterms:modified xsi:type="dcterms:W3CDTF">2016-02-29T14:20:00Z</dcterms:modified>
</cp:coreProperties>
</file>